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12F52">
      <w:pPr>
        <w:pStyle w:val="4"/>
        <w:spacing w:line="360" w:lineRule="auto"/>
        <w:rPr>
          <w:rFonts w:hint="eastAsia" w:ascii="华文楷体" w:hAnsi="华文楷体" w:eastAsia="华文楷体"/>
          <w:color w:val="auto"/>
        </w:rPr>
      </w:pPr>
    </w:p>
    <w:p w14:paraId="36B1364A">
      <w:pPr>
        <w:rPr>
          <w:rFonts w:hint="eastAsia"/>
          <w:color w:val="auto"/>
        </w:rPr>
      </w:pPr>
    </w:p>
    <w:p w14:paraId="55523A8F">
      <w:pPr>
        <w:spacing w:line="360" w:lineRule="auto"/>
        <w:rPr>
          <w:rFonts w:hint="eastAsia"/>
          <w:color w:val="auto"/>
        </w:rPr>
      </w:pPr>
    </w:p>
    <w:p w14:paraId="52182F51">
      <w:pPr>
        <w:spacing w:line="240" w:lineRule="auto"/>
        <w:ind w:firstLine="0" w:firstLineChars="0"/>
        <w:jc w:val="both"/>
        <w:rPr>
          <w:rFonts w:ascii="华文楷体" w:hAnsi="华文楷体"/>
          <w:b/>
          <w:color w:val="auto"/>
          <w:sz w:val="32"/>
          <w:szCs w:val="32"/>
        </w:rPr>
      </w:pPr>
    </w:p>
    <w:p w14:paraId="684718CF">
      <w:pPr>
        <w:adjustRightInd/>
        <w:snapToGrid/>
        <w:spacing w:line="36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48"/>
          <w:szCs w:val="48"/>
          <w:highlight w:val="none"/>
          <w:u w:val="none"/>
          <w:lang w:val="en-US" w:eastAsia="zh-CN"/>
        </w:rPr>
        <w:t>长春市朝阳区</w:t>
      </w:r>
    </w:p>
    <w:p w14:paraId="6339C819">
      <w:pPr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48"/>
          <w:szCs w:val="48"/>
          <w:highlight w:val="none"/>
          <w:u w:val="none"/>
          <w:lang w:val="en-US" w:eastAsia="zh-CN"/>
        </w:rPr>
        <w:t>突发环境事件应急预案编制说明</w:t>
      </w:r>
    </w:p>
    <w:p w14:paraId="474A3772">
      <w:pPr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  <w:r>
        <w:rPr>
          <w:rFonts w:hint="eastAsia" w:cs="Times New Roman"/>
          <w:b/>
          <w:color w:val="auto"/>
          <w:sz w:val="36"/>
          <w:szCs w:val="36"/>
          <w:highlight w:val="none"/>
          <w:u w:val="none"/>
          <w:lang w:eastAsia="zh-CN"/>
        </w:rPr>
        <w:t>（</w:t>
      </w:r>
      <w:r>
        <w:rPr>
          <w:rFonts w:hint="eastAsia" w:cs="Times New Roman"/>
          <w:b/>
          <w:color w:val="auto"/>
          <w:sz w:val="36"/>
          <w:szCs w:val="36"/>
          <w:highlight w:val="none"/>
          <w:u w:val="none"/>
          <w:lang w:val="en-US" w:eastAsia="zh-CN"/>
        </w:rPr>
        <w:t>2025年修订</w:t>
      </w:r>
      <w:r>
        <w:rPr>
          <w:rFonts w:hint="eastAsia" w:cs="Times New Roman"/>
          <w:b/>
          <w:color w:val="auto"/>
          <w:sz w:val="36"/>
          <w:szCs w:val="36"/>
          <w:highlight w:val="none"/>
          <w:u w:val="none"/>
          <w:lang w:eastAsia="zh-CN"/>
        </w:rPr>
        <w:t>）</w:t>
      </w:r>
    </w:p>
    <w:p w14:paraId="5CCEB333">
      <w:pPr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</w:p>
    <w:p w14:paraId="5D8EC835">
      <w:pPr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</w:p>
    <w:p w14:paraId="1855E2E9">
      <w:pPr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</w:p>
    <w:p w14:paraId="25C19D70">
      <w:pPr>
        <w:spacing w:line="240" w:lineRule="auto"/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</w:p>
    <w:p w14:paraId="64F4915F">
      <w:pPr>
        <w:ind w:firstLine="0" w:firstLineChars="0"/>
        <w:jc w:val="center"/>
        <w:rPr>
          <w:rFonts w:ascii="华文楷体" w:hAnsi="华文楷体"/>
          <w:b/>
          <w:color w:val="auto"/>
          <w:sz w:val="44"/>
          <w:szCs w:val="44"/>
        </w:rPr>
      </w:pPr>
    </w:p>
    <w:p w14:paraId="0DEB529A">
      <w:pPr>
        <w:ind w:firstLine="0" w:firstLineChars="0"/>
        <w:jc w:val="center"/>
        <w:rPr>
          <w:rFonts w:hint="eastAsia" w:ascii="华文楷体" w:hAnsi="华文楷体"/>
          <w:b/>
          <w:color w:val="auto"/>
          <w:sz w:val="44"/>
          <w:szCs w:val="44"/>
          <w:lang w:val="en-US" w:eastAsia="zh-CN"/>
        </w:rPr>
      </w:pPr>
    </w:p>
    <w:p w14:paraId="41C9166F">
      <w:pPr>
        <w:ind w:firstLine="0" w:firstLineChars="0"/>
        <w:jc w:val="center"/>
        <w:rPr>
          <w:rFonts w:hint="eastAsia" w:ascii="华文楷体" w:hAnsi="华文楷体"/>
          <w:b/>
          <w:color w:val="auto"/>
          <w:sz w:val="44"/>
          <w:szCs w:val="44"/>
          <w:lang w:val="en-US" w:eastAsia="zh-CN"/>
        </w:rPr>
      </w:pPr>
    </w:p>
    <w:p w14:paraId="7E33D8F8">
      <w:pPr>
        <w:ind w:firstLine="0" w:firstLineChars="0"/>
        <w:jc w:val="center"/>
        <w:rPr>
          <w:rFonts w:hint="eastAsia" w:ascii="华文楷体" w:hAnsi="华文楷体" w:eastAsia="华文楷体"/>
          <w:b/>
          <w:color w:val="auto"/>
          <w:sz w:val="44"/>
          <w:szCs w:val="44"/>
          <w:lang w:val="en-US" w:eastAsia="zh-CN"/>
        </w:rPr>
      </w:pPr>
    </w:p>
    <w:p w14:paraId="5C4B7CBD">
      <w:pPr>
        <w:adjustRightInd/>
        <w:snapToGrid/>
        <w:spacing w:line="480" w:lineRule="auto"/>
        <w:ind w:firstLine="0" w:firstLineChars="0"/>
        <w:jc w:val="center"/>
        <w:rPr>
          <w:rFonts w:hint="eastAsia" w:eastAsia="宋体" w:cs="Times New Roman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eastAsia="宋体" w:cs="Times New Roman"/>
          <w:b/>
          <w:color w:val="auto"/>
          <w:sz w:val="36"/>
          <w:szCs w:val="36"/>
          <w:highlight w:val="none"/>
          <w:u w:val="none"/>
          <w:lang w:val="en-US" w:eastAsia="zh-CN"/>
        </w:rPr>
        <w:t>长春市朝阳区人民政府</w:t>
      </w:r>
    </w:p>
    <w:p w14:paraId="5C0DC3C6">
      <w:pPr>
        <w:ind w:firstLine="0" w:firstLineChars="0"/>
        <w:jc w:val="center"/>
        <w:rPr>
          <w:rFonts w:ascii="华文楷体" w:hAnsi="华文楷体"/>
          <w:b/>
          <w:color w:val="auto"/>
          <w:sz w:val="30"/>
          <w:szCs w:val="30"/>
        </w:rPr>
      </w:pPr>
      <w:r>
        <w:rPr>
          <w:rFonts w:hint="eastAsia" w:eastAsia="宋体" w:cs="Times New Roman"/>
          <w:b/>
          <w:color w:val="auto"/>
          <w:sz w:val="36"/>
          <w:szCs w:val="36"/>
          <w:highlight w:val="none"/>
          <w:u w:val="none"/>
          <w:lang w:val="en-US" w:eastAsia="zh-CN"/>
        </w:rPr>
        <w:t>2025年9月</w:t>
      </w:r>
    </w:p>
    <w:p w14:paraId="490C08CE">
      <w:pPr>
        <w:ind w:firstLine="0" w:firstLineChars="0"/>
        <w:jc w:val="both"/>
        <w:rPr>
          <w:rFonts w:ascii="华文楷体" w:hAnsi="华文楷体"/>
          <w:b/>
          <w:color w:val="auto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587" w:right="1814" w:bottom="1587" w:left="1814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7" w:charSpace="0"/>
        </w:sectPr>
      </w:pPr>
    </w:p>
    <w:p w14:paraId="5221D625">
      <w:pPr>
        <w:ind w:firstLine="0" w:firstLineChars="0"/>
        <w:jc w:val="center"/>
        <w:rPr>
          <w:rFonts w:ascii="华文楷体" w:hAnsi="华文楷体"/>
          <w:b/>
          <w:color w:val="auto"/>
          <w:sz w:val="36"/>
          <w:szCs w:val="36"/>
        </w:rPr>
      </w:pPr>
      <w:r>
        <w:rPr>
          <w:rFonts w:ascii="华文楷体" w:hAnsi="华文楷体"/>
          <w:b/>
          <w:color w:val="auto"/>
          <w:sz w:val="36"/>
          <w:szCs w:val="36"/>
        </w:rPr>
        <w:t>目 录</w:t>
      </w:r>
    </w:p>
    <w:p w14:paraId="1112A780">
      <w:pPr>
        <w:pStyle w:val="12"/>
        <w:tabs>
          <w:tab w:val="right" w:leader="dot" w:pos="8278"/>
        </w:tabs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lang w:val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lang w:val="en-US"/>
        </w:rPr>
        <w:instrText xml:space="preserve">TOC \o "1-3" \h \u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lang w:val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lang w:val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Cs w:val="0"/>
          <w:kern w:val="2"/>
          <w:lang w:val="en-US"/>
        </w:rPr>
        <w:instrText xml:space="preserve"> HYPERLINK \l _Toc6054 </w:instrText>
      </w:r>
      <w:r>
        <w:rPr>
          <w:rFonts w:hint="eastAsia" w:asciiTheme="minorEastAsia" w:hAnsiTheme="minorEastAsia" w:eastAsiaTheme="minorEastAsia" w:cstheme="minorEastAsia"/>
          <w:bCs w:val="0"/>
          <w:kern w:val="2"/>
          <w:lang w:val="en-US"/>
        </w:rPr>
        <w:fldChar w:fldCharType="separate"/>
      </w:r>
      <w:r>
        <w:rPr>
          <w:rFonts w:ascii="华文楷体" w:hAnsi="华文楷体"/>
        </w:rPr>
        <w:t>一、编制过程概述</w:t>
      </w:r>
      <w:r>
        <w:tab/>
      </w:r>
      <w:r>
        <w:fldChar w:fldCharType="begin"/>
      </w:r>
      <w:r>
        <w:instrText xml:space="preserve"> PAGEREF _Toc6054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lang w:val="en-US"/>
        </w:rPr>
        <w:fldChar w:fldCharType="end"/>
      </w:r>
    </w:p>
    <w:p w14:paraId="0EF45018">
      <w:pPr>
        <w:pStyle w:val="12"/>
        <w:tabs>
          <w:tab w:val="right" w:leader="dot" w:pos="8278"/>
        </w:tabs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Cs w:val="0"/>
          <w:kern w:val="2"/>
          <w:szCs w:val="28"/>
          <w:lang w:val="en-US" w:eastAsia="zh-CN" w:bidi="ar-SA"/>
        </w:rPr>
        <w:instrText xml:space="preserve"> HYPERLINK \l _Toc8816 </w:instrText>
      </w:r>
      <w:r>
        <w:rPr>
          <w:rFonts w:hint="eastAsia" w:asciiTheme="minorEastAsia" w:hAnsiTheme="minorEastAsia" w:eastAsiaTheme="minorEastAsia" w:cstheme="minorEastAsia"/>
          <w:bCs w:val="0"/>
          <w:kern w:val="2"/>
          <w:szCs w:val="28"/>
          <w:lang w:val="en-US" w:eastAsia="zh-CN" w:bidi="ar-SA"/>
        </w:rPr>
        <w:fldChar w:fldCharType="separate"/>
      </w:r>
      <w:r>
        <w:rPr>
          <w:rFonts w:ascii="华文楷体" w:hAnsi="华文楷体"/>
        </w:rPr>
        <w:t>二、重点内容说明</w:t>
      </w:r>
      <w:r>
        <w:tab/>
      </w:r>
      <w:r>
        <w:fldChar w:fldCharType="begin"/>
      </w:r>
      <w:r>
        <w:instrText xml:space="preserve"> PAGEREF _Toc8816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Cs w:val="28"/>
          <w:lang w:val="en-US" w:eastAsia="zh-CN" w:bidi="ar-SA"/>
        </w:rPr>
        <w:fldChar w:fldCharType="end"/>
      </w:r>
    </w:p>
    <w:p w14:paraId="36865635">
      <w:pPr>
        <w:pStyle w:val="12"/>
        <w:tabs>
          <w:tab w:val="right" w:leader="dot" w:pos="8278"/>
        </w:tabs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Cs w:val="0"/>
          <w:kern w:val="2"/>
          <w:szCs w:val="28"/>
          <w:lang w:val="en-US" w:eastAsia="zh-CN" w:bidi="ar-SA"/>
        </w:rPr>
        <w:instrText xml:space="preserve"> HYPERLINK \l _Toc16865 </w:instrText>
      </w:r>
      <w:r>
        <w:rPr>
          <w:rFonts w:hint="eastAsia" w:asciiTheme="minorEastAsia" w:hAnsiTheme="minorEastAsia" w:eastAsiaTheme="minorEastAsia" w:cstheme="minorEastAsia"/>
          <w:bCs w:val="0"/>
          <w:kern w:val="2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cs="宋体"/>
          <w:lang w:eastAsia="zh-CN"/>
        </w:rPr>
        <w:t>三</w:t>
      </w:r>
      <w:r>
        <w:rPr>
          <w:rFonts w:hint="eastAsia" w:ascii="宋体" w:hAnsi="宋体" w:cs="宋体"/>
        </w:rPr>
        <w:t>、评审情况说明</w:t>
      </w:r>
      <w:r>
        <w:tab/>
      </w:r>
      <w:r>
        <w:fldChar w:fldCharType="begin"/>
      </w:r>
      <w:r>
        <w:instrText xml:space="preserve"> PAGEREF _Toc16865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Cs w:val="28"/>
          <w:lang w:val="en-US" w:eastAsia="zh-CN" w:bidi="ar-SA"/>
        </w:rPr>
        <w:fldChar w:fldCharType="end"/>
      </w:r>
    </w:p>
    <w:p w14:paraId="4E1EBE0F">
      <w:pPr>
        <w:ind w:firstLine="480"/>
        <w:rPr>
          <w:rFonts w:ascii="Times New Roman" w:hAnsi="Times New Roman" w:eastAsia="华文楷体"/>
          <w:b w:val="0"/>
          <w:bCs w:val="0"/>
          <w:color w:val="auto"/>
          <w:kern w:val="2"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kern w:val="2"/>
          <w:szCs w:val="28"/>
          <w:lang w:val="en-US" w:eastAsia="zh-CN" w:bidi="ar-SA"/>
        </w:rPr>
        <w:fldChar w:fldCharType="end"/>
      </w:r>
    </w:p>
    <w:p w14:paraId="73BAE7CE">
      <w:pPr>
        <w:ind w:firstLine="480"/>
        <w:rPr>
          <w:rFonts w:ascii="华文楷体" w:hAnsi="华文楷体"/>
          <w:color w:val="auto"/>
        </w:rPr>
      </w:pPr>
    </w:p>
    <w:p w14:paraId="3ED08036">
      <w:pPr>
        <w:ind w:firstLine="480"/>
        <w:rPr>
          <w:rFonts w:ascii="华文楷体" w:hAnsi="华文楷体"/>
          <w:color w:val="auto"/>
        </w:rPr>
      </w:pPr>
    </w:p>
    <w:p w14:paraId="41B24049">
      <w:pPr>
        <w:ind w:firstLine="480"/>
        <w:rPr>
          <w:rFonts w:ascii="华文楷体" w:hAnsi="华文楷体"/>
          <w:color w:val="auto"/>
        </w:rPr>
      </w:pPr>
    </w:p>
    <w:p w14:paraId="6B6692B8">
      <w:pPr>
        <w:ind w:firstLine="480"/>
        <w:rPr>
          <w:rFonts w:ascii="华文楷体" w:hAnsi="华文楷体"/>
          <w:color w:val="auto"/>
        </w:rPr>
      </w:pPr>
    </w:p>
    <w:p w14:paraId="4A4CEA20">
      <w:pPr>
        <w:ind w:firstLine="480"/>
        <w:rPr>
          <w:rFonts w:ascii="华文楷体" w:hAnsi="华文楷体"/>
          <w:color w:val="auto"/>
        </w:rPr>
      </w:pPr>
    </w:p>
    <w:p w14:paraId="40389937">
      <w:pPr>
        <w:ind w:firstLine="480"/>
        <w:rPr>
          <w:rFonts w:ascii="华文楷体" w:hAnsi="华文楷体"/>
          <w:color w:val="auto"/>
        </w:rPr>
      </w:pPr>
    </w:p>
    <w:p w14:paraId="749D95FF">
      <w:pPr>
        <w:ind w:firstLine="480"/>
        <w:rPr>
          <w:rFonts w:ascii="华文楷体" w:hAnsi="华文楷体"/>
          <w:color w:val="auto"/>
        </w:rPr>
      </w:pPr>
    </w:p>
    <w:p w14:paraId="16B23376">
      <w:pPr>
        <w:ind w:firstLine="480"/>
        <w:rPr>
          <w:rFonts w:ascii="华文楷体" w:hAnsi="华文楷体"/>
          <w:color w:val="auto"/>
        </w:rPr>
      </w:pPr>
    </w:p>
    <w:p w14:paraId="142795F6">
      <w:pPr>
        <w:ind w:firstLine="480"/>
        <w:rPr>
          <w:rFonts w:ascii="华文楷体" w:hAnsi="华文楷体"/>
          <w:color w:val="auto"/>
        </w:rPr>
      </w:pPr>
    </w:p>
    <w:p w14:paraId="1137BE45">
      <w:pPr>
        <w:ind w:firstLine="480"/>
        <w:rPr>
          <w:rFonts w:ascii="华文楷体" w:hAnsi="华文楷体"/>
          <w:color w:val="auto"/>
        </w:rPr>
      </w:pPr>
    </w:p>
    <w:p w14:paraId="61307703">
      <w:pPr>
        <w:ind w:firstLine="480"/>
        <w:rPr>
          <w:rFonts w:ascii="华文楷体" w:hAnsi="华文楷体"/>
          <w:color w:val="auto"/>
        </w:rPr>
      </w:pPr>
    </w:p>
    <w:p w14:paraId="69CA3C69">
      <w:pPr>
        <w:ind w:firstLine="480"/>
        <w:rPr>
          <w:rFonts w:ascii="华文楷体" w:hAnsi="华文楷体"/>
          <w:color w:val="auto"/>
        </w:rPr>
      </w:pPr>
    </w:p>
    <w:p w14:paraId="740CB7A3">
      <w:pPr>
        <w:ind w:firstLine="480"/>
        <w:rPr>
          <w:rFonts w:ascii="华文楷体" w:hAnsi="华文楷体"/>
          <w:color w:val="auto"/>
        </w:rPr>
      </w:pPr>
    </w:p>
    <w:p w14:paraId="1E298BF4">
      <w:pPr>
        <w:ind w:firstLine="480"/>
        <w:rPr>
          <w:rFonts w:ascii="华文楷体" w:hAnsi="华文楷体"/>
          <w:color w:val="auto"/>
        </w:rPr>
      </w:pPr>
    </w:p>
    <w:p w14:paraId="504E0806">
      <w:pPr>
        <w:ind w:firstLine="480"/>
        <w:rPr>
          <w:rFonts w:ascii="华文楷体" w:hAnsi="华文楷体"/>
          <w:color w:val="auto"/>
        </w:rPr>
      </w:pPr>
    </w:p>
    <w:p w14:paraId="65FE7E36">
      <w:pPr>
        <w:ind w:firstLine="480"/>
        <w:rPr>
          <w:rFonts w:ascii="华文楷体" w:hAnsi="华文楷体"/>
          <w:color w:val="auto"/>
        </w:rPr>
      </w:pPr>
    </w:p>
    <w:p w14:paraId="47D2F696">
      <w:pPr>
        <w:ind w:firstLine="480"/>
        <w:rPr>
          <w:rFonts w:ascii="华文楷体" w:hAnsi="华文楷体"/>
          <w:color w:val="auto"/>
        </w:rPr>
      </w:pPr>
    </w:p>
    <w:p w14:paraId="52D4BD92">
      <w:pPr>
        <w:ind w:firstLine="480"/>
        <w:rPr>
          <w:rFonts w:ascii="华文楷体" w:hAnsi="华文楷体"/>
          <w:color w:val="auto"/>
        </w:rPr>
      </w:pPr>
    </w:p>
    <w:p w14:paraId="62635CC4">
      <w:pPr>
        <w:ind w:firstLine="480"/>
        <w:rPr>
          <w:rFonts w:ascii="华文楷体" w:hAnsi="华文楷体"/>
          <w:color w:val="auto"/>
        </w:rPr>
      </w:pPr>
    </w:p>
    <w:p w14:paraId="6195BC5D">
      <w:pPr>
        <w:ind w:left="0" w:leftChars="0" w:firstLine="0" w:firstLineChars="0"/>
        <w:rPr>
          <w:rFonts w:ascii="华文楷体" w:hAnsi="华文楷体"/>
          <w:color w:val="auto"/>
        </w:rPr>
        <w:sectPr>
          <w:headerReference r:id="rId7" w:type="default"/>
          <w:footerReference r:id="rId8" w:type="default"/>
          <w:pgSz w:w="11906" w:h="16838"/>
          <w:pgMar w:top="1587" w:right="1814" w:bottom="1587" w:left="1814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7" w:charSpace="0"/>
        </w:sectPr>
      </w:pPr>
    </w:p>
    <w:p w14:paraId="788A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为有效预防、及时控制和消除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朝阳区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运行</w:t>
      </w:r>
      <w:r>
        <w:rPr>
          <w:rFonts w:hint="eastAsia" w:asciiTheme="minorEastAsia" w:hAnsiTheme="minorEastAsia" w:eastAsiaTheme="minorEastAsia" w:cstheme="minorEastAsia"/>
          <w:color w:val="auto"/>
        </w:rPr>
        <w:t>过程中突发环境污染事件的危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害，</w:t>
      </w:r>
      <w:r>
        <w:rPr>
          <w:rFonts w:hint="eastAsia" w:asciiTheme="minorEastAsia" w:hAnsiTheme="minorEastAsia" w:eastAsiaTheme="minorEastAsia" w:cstheme="minorEastAsia"/>
          <w:color w:val="auto"/>
        </w:rPr>
        <w:t>明确各部门处置突发环境事件的职责，规范应急处置程序，提高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朝阳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auto"/>
        </w:rPr>
        <w:t>对突发环境事件的防控和应急反应能力，将突发环境事件所造成的环境污染和生态破坏损失降低到最小程度，维护社会稳定和正常的生产、生活秩序，最大限度地保障人民群众的身体健康和生命安全，根据《中华人民共和国环境保护法》、《中华人民共和国突发事件应对法》以及其他相关法规、标准、文件，编制本预案。环境应急预案每三年至少修订一次，本次属于已满三年更新应急预案，结合本区实际进行修订。</w:t>
      </w:r>
    </w:p>
    <w:p w14:paraId="55C29515">
      <w:pPr>
        <w:pStyle w:val="3"/>
        <w:spacing w:before="317"/>
        <w:rPr>
          <w:rFonts w:ascii="华文楷体" w:hAnsi="华文楷体"/>
          <w:color w:val="auto"/>
        </w:rPr>
      </w:pPr>
      <w:bookmarkStart w:id="0" w:name="_Toc5141"/>
      <w:bookmarkStart w:id="1" w:name="_Toc3551"/>
      <w:bookmarkStart w:id="2" w:name="_Toc6594"/>
      <w:bookmarkStart w:id="3" w:name="_Toc420001701"/>
      <w:bookmarkStart w:id="4" w:name="_Toc10769"/>
      <w:bookmarkStart w:id="5" w:name="_Toc6054"/>
      <w:bookmarkStart w:id="6" w:name="_Toc415140554"/>
      <w:bookmarkStart w:id="7" w:name="_Toc12626"/>
      <w:bookmarkStart w:id="8" w:name="_Toc8061"/>
      <w:bookmarkStart w:id="9" w:name="_Toc26017"/>
      <w:bookmarkStart w:id="10" w:name="_Toc26039"/>
      <w:bookmarkStart w:id="11" w:name="_Toc420002105"/>
      <w:bookmarkStart w:id="12" w:name="_Toc420001546"/>
      <w:r>
        <w:rPr>
          <w:rFonts w:ascii="华文楷体" w:hAnsi="华文楷体"/>
          <w:color w:val="auto"/>
        </w:rPr>
        <w:t>一、编制过程概述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112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u w:val="none"/>
          <w:lang w:val="en-US" w:eastAsia="zh-CN"/>
        </w:rPr>
        <w:t>朝阳区</w:t>
      </w:r>
      <w:r>
        <w:rPr>
          <w:rFonts w:hint="eastAsia" w:asciiTheme="minorEastAsia" w:hAnsiTheme="minorEastAsia" w:eastAsiaTheme="minorEastAsia" w:cstheme="minorEastAsia"/>
          <w:color w:val="auto"/>
          <w:u w:val="none"/>
        </w:rPr>
        <w:t>成立了应急预案编制组专门负责预案编制，</w:t>
      </w:r>
      <w:r>
        <w:rPr>
          <w:rFonts w:hint="eastAsia" w:asciiTheme="minorEastAsia" w:hAnsiTheme="minorEastAsia" w:eastAsiaTheme="minorEastAsia" w:cstheme="minorEastAsia"/>
          <w:color w:val="auto"/>
        </w:rPr>
        <w:t>具体如下：</w:t>
      </w:r>
    </w:p>
    <w:p w14:paraId="25A2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</w:rPr>
      </w:pPr>
      <w:r>
        <w:rPr>
          <w:rFonts w:hint="default" w:ascii="Times New Roman" w:hAnsi="Times New Roman" w:cs="Times New Roman" w:eastAsiaTheme="minorEastAsia"/>
          <w:color w:val="auto"/>
        </w:rPr>
        <w:t>（1）成立预案编制组</w:t>
      </w:r>
    </w:p>
    <w:p w14:paraId="6FC2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朝阳区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成立了突发环境应急预案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编制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小组，由</w:t>
      </w: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长春市生态环境局朝阳区分局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总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负责，各部门抽调人员参与预案编制；</w:t>
      </w:r>
    </w:p>
    <w:p w14:paraId="33FA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（2）小组分工</w:t>
      </w:r>
    </w:p>
    <w:p w14:paraId="76DAA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应急预案编制小组在接受本工程预案编制的计划任务后，立即开展工作，成立了企业概况调查队、污染源风险源调查队、周围受影响环境敏感点调查队、突发环境应急资源调查队；</w:t>
      </w:r>
    </w:p>
    <w:p w14:paraId="0266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（3）开展调查</w:t>
      </w:r>
    </w:p>
    <w:p w14:paraId="0717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各小队分头到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各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企业，收集到了相关详细资料；</w:t>
      </w:r>
    </w:p>
    <w:p w14:paraId="63986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（4）组织讨论</w:t>
      </w:r>
    </w:p>
    <w:p w14:paraId="3B75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  <w:t>由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val="en-US" w:eastAsia="zh-CN"/>
        </w:rPr>
        <w:t>长春市生态环境局朝阳区分局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  <w:t>牵头集中小组所有成员开会分析和讨论，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val="en-US" w:eastAsia="zh-CN"/>
        </w:rPr>
        <w:t>朝阳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eastAsia="zh-CN"/>
        </w:rPr>
        <w:t>区目前风险管理情况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  <w:t>，已经具备的突发环境应急资料，这些资源是否能满足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val="en-US" w:eastAsia="zh-CN"/>
        </w:rPr>
        <w:t>朝阳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  <w:t>应急需求，存在哪些问题，还应该做什么样的整改，等等一些列切实问题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eastAsia="zh-CN"/>
        </w:rPr>
        <w:t>；征求朝阳区各局、各街道办事处、镇政府及开发区等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eastAsia="zh-CN"/>
        </w:rPr>
        <w:t>意见，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  <w:lang w:val="en-US" w:eastAsia="zh-CN"/>
        </w:rPr>
        <w:t>及时采纳相关意见</w:t>
      </w:r>
      <w:r>
        <w:rPr>
          <w:rFonts w:hint="eastAsia" w:asciiTheme="minorEastAsia" w:hAnsiTheme="minorEastAsia" w:eastAsiaTheme="minorEastAsia" w:cstheme="minorEastAsia"/>
          <w:i/>
          <w:iCs/>
          <w:color w:val="auto"/>
          <w:highlight w:val="none"/>
          <w:u w:val="single"/>
        </w:rPr>
        <w:t>。</w:t>
      </w:r>
    </w:p>
    <w:p w14:paraId="1516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bookmarkStart w:id="44" w:name="_GoBack"/>
      <w:bookmarkEnd w:id="44"/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（5）咨询专家</w:t>
      </w:r>
    </w:p>
    <w:p w14:paraId="5807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小组经讨论后问题，达成初步共识，然后再咨询省内相关突发环境应急预案评审的专家，进行专业咨询后得到确切的结论。</w:t>
      </w:r>
    </w:p>
    <w:p w14:paraId="2E79A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（6）编制预案</w:t>
      </w:r>
    </w:p>
    <w:p w14:paraId="0388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根据调查结果以及专家咨询内容，编制形成本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开发区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的突发环境应急预案。</w:t>
      </w:r>
    </w:p>
    <w:p w14:paraId="0D2FAF12">
      <w:pPr>
        <w:pStyle w:val="3"/>
        <w:spacing w:before="317"/>
        <w:rPr>
          <w:rFonts w:ascii="华文楷体" w:hAnsi="华文楷体"/>
          <w:color w:val="auto"/>
          <w:highlight w:val="none"/>
        </w:rPr>
      </w:pPr>
      <w:bookmarkStart w:id="13" w:name="_Toc6718"/>
      <w:bookmarkStart w:id="14" w:name="_Toc13791"/>
      <w:bookmarkStart w:id="15" w:name="_Toc8816"/>
      <w:bookmarkStart w:id="16" w:name="_Toc415140555"/>
      <w:bookmarkStart w:id="17" w:name="_Toc32206"/>
      <w:bookmarkStart w:id="18" w:name="_Toc420002106"/>
      <w:bookmarkStart w:id="19" w:name="_Toc3770"/>
      <w:bookmarkStart w:id="20" w:name="_Toc9029"/>
      <w:bookmarkStart w:id="21" w:name="_Toc420001702"/>
      <w:bookmarkStart w:id="22" w:name="_Toc32363"/>
      <w:bookmarkStart w:id="23" w:name="_Toc420001547"/>
      <w:bookmarkStart w:id="24" w:name="_Toc27065"/>
      <w:bookmarkStart w:id="25" w:name="_Toc25542"/>
      <w:r>
        <w:rPr>
          <w:rFonts w:ascii="华文楷体" w:hAnsi="华文楷体"/>
          <w:color w:val="auto"/>
          <w:highlight w:val="none"/>
        </w:rPr>
        <w:t>二、重点内容说明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2E6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（1）总则</w:t>
      </w:r>
    </w:p>
    <w:p w14:paraId="057C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本部分说明本预案的编制目的、适用范围、编制依据、预案体系以及工作原则等问题。</w:t>
      </w:r>
    </w:p>
    <w:p w14:paraId="66050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（2）</w:t>
      </w: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概况</w:t>
      </w:r>
    </w:p>
    <w:p w14:paraId="2DCA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本部分调查清楚</w:t>
      </w: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基本情况：主要经营方向、经营模式、经营过程中污染排放、涉及到的环境风险源及其特征、区域的自然状况（气候气象、水文特征）、企业目前已经配备的应急资源明细等内容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。</w:t>
      </w:r>
    </w:p>
    <w:p w14:paraId="527D6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（3）企业突发环境事件风险评估</w:t>
      </w:r>
    </w:p>
    <w:p w14:paraId="4E83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的主要突发环境风险事件为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各个企业危险化学品泄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漏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以及易燃易爆品引起的火灾、爆炸事故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。经环境风险预测分析认为：</w:t>
      </w:r>
    </w:p>
    <w:p w14:paraId="6B8A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A 对区域环境空气污染危害</w:t>
      </w:r>
    </w:p>
    <w:p w14:paraId="38F8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旦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化学品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泄漏，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对环境空气产生污染，</w:t>
      </w: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  <w:lang w:eastAsia="zh-CN"/>
        </w:rPr>
        <w:t>由于</w:t>
      </w: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  <w:lang w:val="en-US" w:eastAsia="zh-CN"/>
        </w:rPr>
        <w:t>原油</w:t>
      </w: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  <w:lang w:eastAsia="zh-CN"/>
        </w:rPr>
        <w:t>、天然气</w:t>
      </w: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  <w:lang w:val="en-US" w:eastAsia="zh-CN"/>
        </w:rPr>
        <w:t>等物质易燃，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遇热源和明火或与氧化剂接触有引起燃烧爆炸的危险，遇高热、容器内压增大，有开裂或爆炸的危险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（爆炸在厂内发生时属于安全及消防事故）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泄漏进入环境空气、发生火灾燃烧不充分生成CO，CO对环境空气有影响，事故时会对外环境产生污染和影响，主要成分包括CO</w:t>
      </w:r>
      <w:r>
        <w:rPr>
          <w:rFonts w:hint="default" w:ascii="Times New Roman" w:hAnsi="Times New Roman" w:cs="Times New Roman" w:eastAsiaTheme="minorEastAsia"/>
          <w:color w:val="auto"/>
          <w:highlight w:val="none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、CO，其中CO具有毒性，对人体会造成一定程度的伤害。</w:t>
      </w:r>
    </w:p>
    <w:p w14:paraId="56CF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</w:rPr>
        <w:t>B 对周边地表水环境的危害</w:t>
      </w:r>
    </w:p>
    <w:p w14:paraId="3E79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主要为生活污水及生产废水，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排入市政管网，各企业做好防渗防漏措施，不会对地表水及地下水产生威胁；要求企业加强管理，定期检修污水管道等设备检查，并对管道加强维护。</w:t>
      </w:r>
    </w:p>
    <w:p w14:paraId="4433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  <w:u w:val="none"/>
        </w:rPr>
      </w:pP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</w:rPr>
        <w:t xml:space="preserve">C </w:t>
      </w:r>
      <w:r>
        <w:rPr>
          <w:rFonts w:hint="eastAsia" w:ascii="Times New Roman" w:hAnsi="Times New Roman" w:cs="Times New Roman" w:eastAsiaTheme="minorEastAsia"/>
          <w:color w:val="auto"/>
          <w:highlight w:val="none"/>
          <w:u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u w:val="none"/>
          <w:lang w:eastAsia="zh-CN"/>
        </w:rPr>
        <w:t>区可能出现的突发环境事件类型</w:t>
      </w:r>
    </w:p>
    <w:p w14:paraId="2053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highlight w:val="none"/>
        </w:rPr>
      </w:pP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朝阳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区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val="en-US" w:eastAsia="zh-CN"/>
        </w:rPr>
        <w:t>对外部建筑物及外界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敏感人群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存在一定的危害风险，应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最大限度地降低泄漏、火灾、爆炸事故</w:t>
      </w:r>
      <w:r>
        <w:rPr>
          <w:rFonts w:hint="default" w:ascii="Times New Roman" w:hAnsi="Times New Roman" w:cs="Times New Roman" w:eastAsiaTheme="minorEastAsia"/>
          <w:color w:val="auto"/>
          <w:highlight w:val="none"/>
          <w:lang w:eastAsia="zh-CN"/>
        </w:rPr>
        <w:t>，并</w:t>
      </w:r>
      <w:r>
        <w:rPr>
          <w:rFonts w:hint="default" w:ascii="Times New Roman" w:hAnsi="Times New Roman" w:cs="Times New Roman" w:eastAsiaTheme="minorEastAsia"/>
          <w:color w:val="auto"/>
          <w:highlight w:val="none"/>
        </w:rPr>
        <w:t>做好应急疏散，可将最大程度降低对其影响程度。</w:t>
      </w:r>
    </w:p>
    <w:p w14:paraId="23E24040">
      <w:pPr>
        <w:pStyle w:val="3"/>
        <w:spacing w:before="312"/>
        <w:rPr>
          <w:rFonts w:ascii="????" w:hAnsi="????"/>
          <w:color w:val="auto"/>
          <w:highlight w:val="none"/>
        </w:rPr>
      </w:pPr>
      <w:bookmarkStart w:id="26" w:name="_Toc1132"/>
      <w:bookmarkStart w:id="27" w:name="_Toc23712"/>
      <w:bookmarkStart w:id="28" w:name="_Toc16937"/>
      <w:bookmarkStart w:id="29" w:name="_Toc18502"/>
      <w:bookmarkStart w:id="30" w:name="_Toc420001549"/>
      <w:bookmarkStart w:id="31" w:name="_Toc420002108"/>
      <w:bookmarkStart w:id="32" w:name="_Toc22317"/>
      <w:bookmarkStart w:id="33" w:name="_Toc1338"/>
      <w:bookmarkStart w:id="34" w:name="_Toc26968"/>
      <w:bookmarkStart w:id="35" w:name="_Toc19531"/>
      <w:bookmarkStart w:id="36" w:name="_Toc32563"/>
      <w:bookmarkStart w:id="37" w:name="_Toc26971"/>
      <w:bookmarkStart w:id="38" w:name="_Toc3626"/>
      <w:bookmarkStart w:id="39" w:name="_Toc420001704"/>
      <w:bookmarkStart w:id="40" w:name="_Toc415140557"/>
      <w:bookmarkStart w:id="41" w:name="_Toc1261"/>
      <w:bookmarkStart w:id="42" w:name="_Toc16865"/>
      <w:bookmarkStart w:id="43" w:name="_Toc11063"/>
      <w:r>
        <w:rPr>
          <w:rFonts w:hint="eastAsia" w:ascii="宋体" w:hAnsi="宋体" w:cs="宋体"/>
          <w:color w:val="auto"/>
          <w:highlight w:val="none"/>
          <w:lang w:eastAsia="zh-CN"/>
        </w:rPr>
        <w:t>三</w:t>
      </w:r>
      <w:r>
        <w:rPr>
          <w:rFonts w:hint="eastAsia" w:ascii="宋体" w:hAnsi="宋体" w:cs="宋体"/>
          <w:color w:val="auto"/>
          <w:highlight w:val="none"/>
        </w:rPr>
        <w:t>、评审情况说明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5EAC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本预案采用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函审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形式进行评审，由省内应急预案评审专家库专家出具个人评审意见。根据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函审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专家意见认为本预案编制体系较为完善，形式与内容基本符合相关规范的要求，措施得当，对突发环境事件的处置具有一定的针对性、指导性和可操作性。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朝阳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基本按照国家标准和规范要求，设计了行之有效的风险防范设施，但是应该加强日常的应急演练，防患于未然。总体意见认为该预案总体可行。</w:t>
      </w:r>
    </w:p>
    <w:sectPr>
      <w:headerReference r:id="rId9" w:type="default"/>
      <w:footerReference r:id="rId10" w:type="default"/>
      <w:pgSz w:w="11906" w:h="16838"/>
      <w:pgMar w:top="1587" w:right="1803" w:bottom="1587" w:left="180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6E7D">
    <w:pPr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4CA8">
    <w:pPr>
      <w:pStyle w:val="10"/>
      <w:tabs>
        <w:tab w:val="center" w:pos="4139"/>
        <w:tab w:val="clear" w:pos="4153"/>
      </w:tabs>
      <w:rPr>
        <w:rFonts w:hint="eastAsia" w:ascii="Times New Roman" w:hAnsi="Times New Roman" w:eastAsia="华文楷体" w:cs="Times New Roman"/>
        <w:b w:val="0"/>
        <w:bCs w:val="0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华文楷体" w:cs="Times New Roman"/>
        <w:b w:val="0"/>
        <w:bCs w:val="0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2A7F5">
                          <w:pPr>
                            <w:snapToGrid w:val="0"/>
                            <w:rPr>
                              <w:rFonts w:hint="eastAsia" w:eastAsia="华文楷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72A7F5">
                    <w:pPr>
                      <w:snapToGrid w:val="0"/>
                      <w:rPr>
                        <w:rFonts w:hint="eastAsia" w:eastAsia="华文楷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AD25A">
    <w:pPr>
      <w:pStyle w:val="1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rPr>
        <w:rFonts w:ascii="Times New Roman" w:hAnsi="Times New Roman" w:eastAsia="华文楷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华文楷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08CE2">
                          <w:pPr>
                            <w:snapToGrid w:val="0"/>
                            <w:rPr>
                              <w:rFonts w:hint="eastAsia" w:eastAsia="华文楷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B08CE2">
                    <w:pPr>
                      <w:snapToGrid w:val="0"/>
                      <w:rPr>
                        <w:rFonts w:hint="eastAsia" w:eastAsia="华文楷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658BE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F9A0F">
    <w:pPr>
      <w:pBdr>
        <w:bottom w:val="single" w:color="auto" w:sz="4" w:space="0"/>
      </w:pBdr>
      <w:spacing w:line="240" w:lineRule="auto"/>
      <w:ind w:firstLine="0" w:firstLineChars="0"/>
      <w:jc w:val="center"/>
      <w:rPr>
        <w:spacing w:val="-4"/>
      </w:rPr>
    </w:pPr>
    <w:r>
      <w:rPr>
        <w:rFonts w:hint="eastAsia" w:cs="Times New Roman"/>
        <w:spacing w:val="-4"/>
        <w:kern w:val="2"/>
        <w:sz w:val="18"/>
        <w:szCs w:val="18"/>
        <w:lang w:val="en-US" w:eastAsia="zh-CN" w:bidi="ar-SA"/>
      </w:rPr>
      <w:t>长春市朝阳区</w:t>
    </w:r>
    <w:r>
      <w:rPr>
        <w:rFonts w:hint="eastAsia" w:ascii="Times New Roman" w:hAnsi="Times New Roman" w:eastAsia="华文楷体" w:cs="Times New Roman"/>
        <w:spacing w:val="-4"/>
        <w:kern w:val="2"/>
        <w:sz w:val="18"/>
        <w:szCs w:val="18"/>
        <w:lang w:val="en-US" w:eastAsia="zh-CN" w:bidi="ar-SA"/>
      </w:rPr>
      <w:t>突发环境事件应急预案编制说明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792">
    <w:pPr>
      <w:pBdr>
        <w:bottom w:val="single" w:color="auto" w:sz="4" w:space="0"/>
      </w:pBdr>
      <w:spacing w:line="240" w:lineRule="auto"/>
      <w:ind w:firstLine="0" w:firstLineChars="0"/>
      <w:jc w:val="center"/>
      <w:rPr>
        <w:spacing w:val="0"/>
      </w:rPr>
    </w:pPr>
    <w:r>
      <w:rPr>
        <w:rFonts w:hint="eastAsia" w:cs="Times New Roman"/>
        <w:spacing w:val="0"/>
        <w:kern w:val="2"/>
        <w:sz w:val="18"/>
        <w:szCs w:val="18"/>
        <w:lang w:val="en-US" w:eastAsia="zh-CN" w:bidi="ar-SA"/>
      </w:rPr>
      <w:t>长春市朝阳区</w:t>
    </w:r>
    <w:r>
      <w:rPr>
        <w:rFonts w:hint="eastAsia" w:ascii="Times New Roman" w:hAnsi="Times New Roman" w:eastAsia="华文楷体" w:cs="Times New Roman"/>
        <w:spacing w:val="0"/>
        <w:kern w:val="2"/>
        <w:sz w:val="18"/>
        <w:szCs w:val="18"/>
        <w:lang w:val="en-US" w:eastAsia="zh-CN" w:bidi="ar-SA"/>
      </w:rPr>
      <w:t>突发环境事件应急预案编制说明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WI3NzkzODY1NmMyMzQzZDQ3ZWRmZTI5ZDIwNDgifQ=="/>
  </w:docVars>
  <w:rsids>
    <w:rsidRoot w:val="74B05EEF"/>
    <w:rsid w:val="003F62EB"/>
    <w:rsid w:val="004A4103"/>
    <w:rsid w:val="006947D8"/>
    <w:rsid w:val="01024042"/>
    <w:rsid w:val="020F7499"/>
    <w:rsid w:val="02301689"/>
    <w:rsid w:val="024835C3"/>
    <w:rsid w:val="03A34D06"/>
    <w:rsid w:val="03FC4D57"/>
    <w:rsid w:val="0522647B"/>
    <w:rsid w:val="05BE2C35"/>
    <w:rsid w:val="06402410"/>
    <w:rsid w:val="068954BF"/>
    <w:rsid w:val="07154041"/>
    <w:rsid w:val="09FD28BA"/>
    <w:rsid w:val="0A1C3DCA"/>
    <w:rsid w:val="0A9C6DB1"/>
    <w:rsid w:val="0F960511"/>
    <w:rsid w:val="111C0F75"/>
    <w:rsid w:val="1212349F"/>
    <w:rsid w:val="13FB3677"/>
    <w:rsid w:val="14315470"/>
    <w:rsid w:val="16AF1A19"/>
    <w:rsid w:val="16C64858"/>
    <w:rsid w:val="17A27CC1"/>
    <w:rsid w:val="17F84EE5"/>
    <w:rsid w:val="18394296"/>
    <w:rsid w:val="19262111"/>
    <w:rsid w:val="1A4833C2"/>
    <w:rsid w:val="1A7B1DFD"/>
    <w:rsid w:val="1A9E35D2"/>
    <w:rsid w:val="1BAF7FB0"/>
    <w:rsid w:val="1C5A4A2F"/>
    <w:rsid w:val="1C821221"/>
    <w:rsid w:val="1D430B29"/>
    <w:rsid w:val="1FC3227C"/>
    <w:rsid w:val="1FC93DB2"/>
    <w:rsid w:val="218B3004"/>
    <w:rsid w:val="218B781F"/>
    <w:rsid w:val="22723E6C"/>
    <w:rsid w:val="22767839"/>
    <w:rsid w:val="23C6233B"/>
    <w:rsid w:val="268B61D5"/>
    <w:rsid w:val="26FE003E"/>
    <w:rsid w:val="280D453C"/>
    <w:rsid w:val="28753D57"/>
    <w:rsid w:val="294837F2"/>
    <w:rsid w:val="2AED4C67"/>
    <w:rsid w:val="2B2C3A7F"/>
    <w:rsid w:val="2B5D766E"/>
    <w:rsid w:val="2C3F0BBE"/>
    <w:rsid w:val="2CF47874"/>
    <w:rsid w:val="2DB733B9"/>
    <w:rsid w:val="2DFE30FC"/>
    <w:rsid w:val="2E0E500A"/>
    <w:rsid w:val="2E143826"/>
    <w:rsid w:val="2E1B3F3C"/>
    <w:rsid w:val="2E7139C1"/>
    <w:rsid w:val="2EB4662E"/>
    <w:rsid w:val="2ED63070"/>
    <w:rsid w:val="2F572ABD"/>
    <w:rsid w:val="2FC80BDE"/>
    <w:rsid w:val="314F1BC2"/>
    <w:rsid w:val="31EE30E5"/>
    <w:rsid w:val="31F75486"/>
    <w:rsid w:val="328F7696"/>
    <w:rsid w:val="358A076F"/>
    <w:rsid w:val="37A64F09"/>
    <w:rsid w:val="37B620F4"/>
    <w:rsid w:val="37B7376C"/>
    <w:rsid w:val="38091EFE"/>
    <w:rsid w:val="38822C84"/>
    <w:rsid w:val="38AB5EDD"/>
    <w:rsid w:val="39176D51"/>
    <w:rsid w:val="39425A83"/>
    <w:rsid w:val="3AF9494C"/>
    <w:rsid w:val="3C29300F"/>
    <w:rsid w:val="3D7D20EB"/>
    <w:rsid w:val="3E5A53A6"/>
    <w:rsid w:val="3F5340DF"/>
    <w:rsid w:val="3FD357C2"/>
    <w:rsid w:val="4058152C"/>
    <w:rsid w:val="40AC6DA0"/>
    <w:rsid w:val="40D048E5"/>
    <w:rsid w:val="415B2D20"/>
    <w:rsid w:val="442061EE"/>
    <w:rsid w:val="447A6AFE"/>
    <w:rsid w:val="44AD1134"/>
    <w:rsid w:val="44CD7050"/>
    <w:rsid w:val="44F239F9"/>
    <w:rsid w:val="45EF6218"/>
    <w:rsid w:val="45F428E0"/>
    <w:rsid w:val="46020B59"/>
    <w:rsid w:val="47543819"/>
    <w:rsid w:val="47825E6A"/>
    <w:rsid w:val="47FE7A46"/>
    <w:rsid w:val="49887CB3"/>
    <w:rsid w:val="4A4145D3"/>
    <w:rsid w:val="4B104397"/>
    <w:rsid w:val="4B386786"/>
    <w:rsid w:val="4BD67887"/>
    <w:rsid w:val="4C7447E0"/>
    <w:rsid w:val="4CA01BB2"/>
    <w:rsid w:val="4D513B23"/>
    <w:rsid w:val="4DB34D79"/>
    <w:rsid w:val="4DEE3B72"/>
    <w:rsid w:val="4EBF2137"/>
    <w:rsid w:val="4F820B0F"/>
    <w:rsid w:val="4FB45932"/>
    <w:rsid w:val="4FFC7D66"/>
    <w:rsid w:val="50913DFC"/>
    <w:rsid w:val="50F7586C"/>
    <w:rsid w:val="516736C5"/>
    <w:rsid w:val="52365EED"/>
    <w:rsid w:val="52A826D4"/>
    <w:rsid w:val="52E71802"/>
    <w:rsid w:val="5335518F"/>
    <w:rsid w:val="533805F1"/>
    <w:rsid w:val="53D0673A"/>
    <w:rsid w:val="53D37FD9"/>
    <w:rsid w:val="54196B26"/>
    <w:rsid w:val="553A5544"/>
    <w:rsid w:val="56570F13"/>
    <w:rsid w:val="565F7902"/>
    <w:rsid w:val="569819D5"/>
    <w:rsid w:val="56B74DF2"/>
    <w:rsid w:val="57FD381F"/>
    <w:rsid w:val="58843D0D"/>
    <w:rsid w:val="589463BB"/>
    <w:rsid w:val="58BD3BFD"/>
    <w:rsid w:val="594C6863"/>
    <w:rsid w:val="5950064C"/>
    <w:rsid w:val="595A14F2"/>
    <w:rsid w:val="59CF405F"/>
    <w:rsid w:val="5C631727"/>
    <w:rsid w:val="5E202E35"/>
    <w:rsid w:val="5E856520"/>
    <w:rsid w:val="5E930A90"/>
    <w:rsid w:val="5EC361AB"/>
    <w:rsid w:val="6043614B"/>
    <w:rsid w:val="60A665BB"/>
    <w:rsid w:val="60E83B3A"/>
    <w:rsid w:val="611D7150"/>
    <w:rsid w:val="618D2614"/>
    <w:rsid w:val="62261C1B"/>
    <w:rsid w:val="640F4090"/>
    <w:rsid w:val="64290161"/>
    <w:rsid w:val="653A4F4D"/>
    <w:rsid w:val="659D7CC2"/>
    <w:rsid w:val="666B5E4F"/>
    <w:rsid w:val="66F60231"/>
    <w:rsid w:val="67656D42"/>
    <w:rsid w:val="67D619EE"/>
    <w:rsid w:val="68291950"/>
    <w:rsid w:val="6A1E7EAE"/>
    <w:rsid w:val="6A3677D6"/>
    <w:rsid w:val="6A8032A9"/>
    <w:rsid w:val="6B9E6F55"/>
    <w:rsid w:val="6C375EA7"/>
    <w:rsid w:val="6C9060A5"/>
    <w:rsid w:val="6D8A12B0"/>
    <w:rsid w:val="6E2D0CAA"/>
    <w:rsid w:val="6E5D257E"/>
    <w:rsid w:val="6F5663A3"/>
    <w:rsid w:val="70507571"/>
    <w:rsid w:val="71AA0790"/>
    <w:rsid w:val="74525935"/>
    <w:rsid w:val="74B05EEF"/>
    <w:rsid w:val="753F6E24"/>
    <w:rsid w:val="768D672D"/>
    <w:rsid w:val="76B22541"/>
    <w:rsid w:val="76CD2183"/>
    <w:rsid w:val="782C56E9"/>
    <w:rsid w:val="785726D7"/>
    <w:rsid w:val="79A66EBE"/>
    <w:rsid w:val="7A860F8B"/>
    <w:rsid w:val="7AB47689"/>
    <w:rsid w:val="7ABF0F88"/>
    <w:rsid w:val="7C4E1522"/>
    <w:rsid w:val="7C9627C3"/>
    <w:rsid w:val="7D2D3676"/>
    <w:rsid w:val="7D6A08B2"/>
    <w:rsid w:val="7DAD0EDE"/>
    <w:rsid w:val="7E6567EE"/>
    <w:rsid w:val="7EC47386"/>
    <w:rsid w:val="7ED42D64"/>
    <w:rsid w:val="7F6502B2"/>
    <w:rsid w:val="7F795BB0"/>
    <w:rsid w:val="7FB23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Times New Roman" w:hAnsi="Times New Roman" w:eastAsia="华文楷体" w:cs="Times New Roman"/>
      <w:kern w:val="2"/>
      <w:sz w:val="24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100" w:line="480" w:lineRule="auto"/>
      <w:ind w:firstLine="0" w:firstLineChars="0"/>
      <w:outlineLvl w:val="0"/>
    </w:pPr>
    <w:rPr>
      <w:b/>
      <w:bCs/>
      <w:kern w:val="44"/>
      <w:sz w:val="36"/>
      <w:szCs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80" w:lineRule="auto"/>
      <w:ind w:firstLine="0" w:firstLineChars="0"/>
      <w:outlineLvl w:val="1"/>
    </w:pPr>
    <w:rPr>
      <w:rFonts w:eastAsia="宋体"/>
      <w:b/>
      <w:kern w:val="0"/>
      <w:sz w:val="30"/>
      <w:szCs w:val="30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after="120"/>
      <w:ind w:firstLine="420" w:firstLineChars="100"/>
      <w:jc w:val="both"/>
    </w:pPr>
    <w:rPr>
      <w:sz w:val="21"/>
    </w:r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toc 8"/>
    <w:basedOn w:val="1"/>
    <w:next w:val="1"/>
    <w:qFormat/>
    <w:uiPriority w:val="0"/>
    <w:pPr>
      <w:ind w:left="2940" w:leftChars="1400"/>
    </w:pPr>
  </w:style>
  <w:style w:type="paragraph" w:styleId="10">
    <w:name w:val="footer"/>
    <w:basedOn w:val="1"/>
    <w:autoRedefine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autoRedefine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toc 9"/>
    <w:basedOn w:val="1"/>
    <w:next w:val="1"/>
    <w:autoRedefine/>
    <w:qFormat/>
    <w:uiPriority w:val="0"/>
    <w:pPr>
      <w:ind w:left="3360" w:leftChars="1600"/>
    </w:pPr>
  </w:style>
  <w:style w:type="character" w:styleId="19">
    <w:name w:val="Hyperlink"/>
    <w:qFormat/>
    <w:uiPriority w:val="0"/>
    <w:rPr>
      <w:color w:val="0000FF"/>
      <w:u w:val="single"/>
    </w:rPr>
  </w:style>
  <w:style w:type="paragraph" w:customStyle="1" w:styleId="20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customStyle="1" w:styleId="21">
    <w:name w:val="TOC 标题1"/>
    <w:basedOn w:val="3"/>
    <w:next w:val="1"/>
    <w:autoRedefine/>
    <w:qFormat/>
    <w:uiPriority w:val="39"/>
    <w:pPr>
      <w:widowControl/>
      <w:adjustRightInd/>
      <w:snapToGrid/>
      <w:spacing w:beforeLines="0" w:line="276" w:lineRule="auto"/>
      <w:contextualSpacing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1507</Words>
  <Characters>1519</Characters>
  <Lines>0</Lines>
  <Paragraphs>0</Paragraphs>
  <TotalTime>0</TotalTime>
  <ScaleCrop>false</ScaleCrop>
  <LinksUpToDate>false</LinksUpToDate>
  <CharactersWithSpaces>1526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2015-11-25T04:54:00Z</dcterms:created>
  <dc:creator>FengMinghui</dc:creator>
  <cp:lastModifiedBy>洪宇</cp:lastModifiedBy>
  <dcterms:modified xsi:type="dcterms:W3CDTF">2025-09-16T01:12:14Z</dcterms:modified>
  <dc:title>材料二（2）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591DF6B4005248449F14BE8089CD46A4_13</vt:lpwstr>
  </property>
  <property fmtid="{D5CDD505-2E9C-101B-9397-08002B2CF9AE}" pid="4" name="KSOTemplateDocerSaveRecord">
    <vt:lpwstr>eyJoZGlkIjoiY2FlNGIxZWRlMzdhNzlkMTU3ZWZhMDYxMGFiMDJkNTIiLCJ1c2VySWQiOiI0NzU0NjAzNTcifQ==</vt:lpwstr>
  </property>
</Properties>
</file>