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2024年朝阳区优化营商环境助力</w:t>
      </w:r>
    </w:p>
    <w:p>
      <w:pPr>
        <w:spacing w:line="64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高质量发展重点任务行动方案</w:t>
      </w:r>
    </w:p>
    <w:p>
      <w:pPr>
        <w:spacing w:line="576" w:lineRule="exact"/>
        <w:ind w:firstLine="0" w:firstLineChars="0"/>
        <w:jc w:val="left"/>
        <w:rPr>
          <w:rFonts w:hint="eastAsia" w:ascii="仿宋" w:hAnsi="仿宋" w:eastAsia="仿宋" w:cs="仿宋"/>
          <w:sz w:val="32"/>
          <w:szCs w:val="32"/>
        </w:rPr>
      </w:pPr>
    </w:p>
    <w:p>
      <w:pPr>
        <w:pStyle w:val="2"/>
        <w:spacing w:line="576" w:lineRule="exact"/>
        <w:ind w:firstLine="640"/>
        <w:jc w:val="both"/>
        <w:rPr>
          <w:rFonts w:hint="eastAsia" w:ascii="仿宋" w:hAnsi="仿宋" w:eastAsia="仿宋"/>
          <w:szCs w:val="32"/>
        </w:rPr>
      </w:pPr>
      <w:r>
        <w:rPr>
          <w:rFonts w:ascii="仿宋" w:hAnsi="仿宋" w:eastAsia="仿宋"/>
          <w:kern w:val="0"/>
          <w:szCs w:val="32"/>
        </w:rPr>
        <w:t>为全面贯彻党的二十大和习近平总书记在新时代推动东北全面振兴座谈会上的重要讲话精神，加快落实国家、省</w:t>
      </w:r>
      <w:r>
        <w:rPr>
          <w:rFonts w:hint="eastAsia" w:ascii="仿宋" w:hAnsi="仿宋" w:eastAsia="仿宋"/>
          <w:kern w:val="0"/>
          <w:szCs w:val="32"/>
        </w:rPr>
        <w:t>、市</w:t>
      </w:r>
      <w:r>
        <w:rPr>
          <w:rFonts w:ascii="仿宋" w:hAnsi="仿宋" w:eastAsia="仿宋"/>
          <w:kern w:val="0"/>
          <w:szCs w:val="32"/>
        </w:rPr>
        <w:t>优化营商环境工作部署，深入实施《长春市优化营商环境条例》</w:t>
      </w:r>
      <w:r>
        <w:rPr>
          <w:rFonts w:hint="eastAsia" w:ascii="仿宋" w:hAnsi="仿宋" w:eastAsia="仿宋"/>
          <w:kern w:val="0"/>
          <w:szCs w:val="32"/>
        </w:rPr>
        <w:t>，</w:t>
      </w:r>
      <w:r>
        <w:rPr>
          <w:rFonts w:hint="eastAsia" w:ascii="仿宋" w:hAnsi="仿宋" w:eastAsia="仿宋"/>
          <w:szCs w:val="32"/>
        </w:rPr>
        <w:t>根据省、市要求，结合朝阳实际，现制定本工作方案。</w:t>
      </w:r>
    </w:p>
    <w:p>
      <w:pPr>
        <w:pStyle w:val="2"/>
        <w:spacing w:line="576" w:lineRule="exact"/>
        <w:ind w:firstLine="640"/>
        <w:jc w:val="both"/>
        <w:rPr>
          <w:rFonts w:hint="eastAsia" w:ascii="Times New Roman" w:hAnsi="Times New Roman" w:eastAsia="黑体"/>
          <w:szCs w:val="32"/>
        </w:rPr>
      </w:pPr>
      <w:r>
        <w:rPr>
          <w:rFonts w:hint="eastAsia" w:ascii="Times New Roman" w:hAnsi="Times New Roman" w:eastAsia="黑体"/>
          <w:szCs w:val="32"/>
        </w:rPr>
        <w:t>一、总体要求</w:t>
      </w:r>
    </w:p>
    <w:p>
      <w:pPr>
        <w:pStyle w:val="2"/>
        <w:spacing w:line="576" w:lineRule="exact"/>
        <w:ind w:firstLine="640"/>
        <w:jc w:val="both"/>
        <w:rPr>
          <w:rFonts w:ascii="仿宋" w:hAnsi="仿宋" w:eastAsia="仿宋"/>
          <w:kern w:val="0"/>
          <w:szCs w:val="32"/>
        </w:rPr>
      </w:pPr>
      <w:r>
        <w:rPr>
          <w:rFonts w:ascii="仿宋" w:hAnsi="仿宋" w:eastAsia="仿宋"/>
          <w:kern w:val="0"/>
          <w:szCs w:val="32"/>
        </w:rPr>
        <w:t>坚持以习近平新时代中国特色社会主义思想为指导，全面落实党中央、国务院</w:t>
      </w:r>
      <w:r>
        <w:rPr>
          <w:rFonts w:hint="eastAsia" w:ascii="仿宋" w:hAnsi="仿宋" w:eastAsia="仿宋"/>
          <w:kern w:val="0"/>
          <w:szCs w:val="32"/>
        </w:rPr>
        <w:t>、省、市</w:t>
      </w:r>
      <w:r>
        <w:rPr>
          <w:rFonts w:ascii="仿宋" w:hAnsi="仿宋" w:eastAsia="仿宋"/>
          <w:kern w:val="0"/>
          <w:szCs w:val="32"/>
        </w:rPr>
        <w:t>关于优化营商环境各项决策部署，</w:t>
      </w:r>
      <w:r>
        <w:rPr>
          <w:rFonts w:hint="eastAsia" w:ascii="仿宋" w:hAnsi="仿宋" w:eastAsia="仿宋"/>
          <w:kern w:val="0"/>
          <w:szCs w:val="32"/>
        </w:rPr>
        <w:t>锚定营商环境“全国第一方阵”目标，围绕深化重点领域改革，聚焦破解企业反映强烈、制约高质量发展的体制机制问题，</w:t>
      </w:r>
      <w:r>
        <w:rPr>
          <w:rFonts w:ascii="仿宋" w:hAnsi="仿宋" w:eastAsia="仿宋"/>
          <w:kern w:val="0"/>
          <w:szCs w:val="32"/>
        </w:rPr>
        <w:t>以经营主体感受为标准，</w:t>
      </w:r>
      <w:r>
        <w:rPr>
          <w:rFonts w:hint="eastAsia" w:ascii="仿宋" w:hAnsi="仿宋" w:eastAsia="仿宋"/>
          <w:kern w:val="0"/>
          <w:szCs w:val="32"/>
        </w:rPr>
        <w:t>不断激发市场活力和社会创造力，在打造市场化、法治化、国际化营商环境道路上久久为功、持续发力，为新时代长春全面振兴率先实现新突破作出新的更大贡献。</w:t>
      </w:r>
    </w:p>
    <w:p>
      <w:pPr>
        <w:pStyle w:val="8"/>
        <w:spacing w:before="0" w:beforeAutospacing="0" w:after="0" w:afterAutospacing="0" w:line="576" w:lineRule="exact"/>
        <w:ind w:firstLine="64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二、主要任务</w:t>
      </w:r>
    </w:p>
    <w:p>
      <w:pPr>
        <w:pStyle w:val="2"/>
        <w:spacing w:line="576" w:lineRule="exact"/>
        <w:ind w:firstLine="640"/>
        <w:jc w:val="both"/>
        <w:rPr>
          <w:rFonts w:hint="eastAsia" w:ascii="仿宋" w:hAnsi="仿宋" w:eastAsia="仿宋"/>
          <w:kern w:val="0"/>
          <w:szCs w:val="32"/>
        </w:rPr>
      </w:pPr>
      <w:r>
        <w:rPr>
          <w:rFonts w:hint="eastAsia" w:ascii="仿宋" w:hAnsi="仿宋" w:eastAsia="仿宋"/>
          <w:kern w:val="0"/>
          <w:szCs w:val="32"/>
        </w:rPr>
        <w:t>按照全省优化营商环境加快项目建设大会工作部署，立足于</w:t>
      </w:r>
      <w:r>
        <w:rPr>
          <w:rFonts w:ascii="仿宋" w:hAnsi="仿宋" w:eastAsia="仿宋"/>
          <w:kern w:val="0"/>
          <w:szCs w:val="32"/>
        </w:rPr>
        <w:t>《长春市优化营商环境条例》</w:t>
      </w:r>
      <w:r>
        <w:rPr>
          <w:rFonts w:hint="eastAsia" w:ascii="仿宋" w:hAnsi="仿宋" w:eastAsia="仿宋"/>
          <w:kern w:val="0"/>
          <w:szCs w:val="32"/>
        </w:rPr>
        <w:t>提出的5大环境，结合朝阳区工作实际，落实36项工作任务，构建“1+5+36”重点任务工作体系。</w:t>
      </w:r>
    </w:p>
    <w:p>
      <w:pPr>
        <w:pStyle w:val="8"/>
        <w:spacing w:before="0" w:beforeAutospacing="0" w:after="0" w:afterAutospacing="0" w:line="576" w:lineRule="exact"/>
        <w:ind w:firstLine="643"/>
        <w:jc w:val="both"/>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（一）打造利企惠企的市场环境</w:t>
      </w:r>
    </w:p>
    <w:p>
      <w:pPr>
        <w:pStyle w:val="2"/>
        <w:spacing w:line="576" w:lineRule="exact"/>
        <w:ind w:firstLine="640"/>
        <w:jc w:val="both"/>
        <w:rPr>
          <w:rFonts w:ascii="仿宋" w:hAnsi="仿宋" w:eastAsia="仿宋"/>
          <w:kern w:val="0"/>
          <w:szCs w:val="32"/>
        </w:rPr>
      </w:pPr>
      <w:r>
        <w:rPr>
          <w:rFonts w:hint="eastAsia" w:ascii="仿宋" w:hAnsi="仿宋" w:eastAsia="仿宋"/>
          <w:kern w:val="0"/>
          <w:szCs w:val="32"/>
        </w:rPr>
        <w:t>着力解决</w:t>
      </w:r>
      <w:r>
        <w:rPr>
          <w:rFonts w:ascii="仿宋" w:hAnsi="仿宋" w:eastAsia="仿宋"/>
          <w:kern w:val="0"/>
          <w:szCs w:val="32"/>
        </w:rPr>
        <w:t>市场准入和退出门槛高、参与招标采购受到不公平待遇、税费争议化解难、贸易通关不便利等问题。</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w:t>
      </w:r>
      <w:r>
        <w:rPr>
          <w:rFonts w:ascii="仿宋" w:hAnsi="仿宋" w:eastAsia="仿宋"/>
          <w:b/>
          <w:bCs/>
          <w:kern w:val="0"/>
          <w:szCs w:val="32"/>
        </w:rPr>
        <w:t>严格落实公平竞争审查制度。</w:t>
      </w:r>
      <w:r>
        <w:rPr>
          <w:rFonts w:hint="eastAsia" w:ascii="仿宋" w:hAnsi="仿宋" w:eastAsia="仿宋"/>
          <w:kern w:val="0"/>
          <w:szCs w:val="32"/>
        </w:rPr>
        <w:t>开展全区重点领域文件公平竞争审查抽查，抽查覆盖率30%以上；开展“制止滥用行政权力排除、限制竞争执法”专项行动，落实经营主体参与评议制度，坚决破除地方保护和市场分割。</w:t>
      </w:r>
      <w:r>
        <w:rPr>
          <w:rFonts w:ascii="仿宋" w:hAnsi="仿宋" w:eastAsia="仿宋"/>
          <w:kern w:val="0"/>
          <w:szCs w:val="32"/>
        </w:rPr>
        <w:t>（牵头部门：市场监</w:t>
      </w:r>
      <w:r>
        <w:rPr>
          <w:rFonts w:hint="eastAsia" w:ascii="仿宋" w:hAnsi="仿宋" w:eastAsia="仿宋"/>
          <w:kern w:val="0"/>
          <w:szCs w:val="32"/>
        </w:rPr>
        <w:t>管分局</w:t>
      </w:r>
      <w:r>
        <w:rPr>
          <w:rFonts w:ascii="仿宋" w:hAnsi="仿宋" w:eastAsia="仿宋"/>
          <w:kern w:val="0"/>
          <w:szCs w:val="32"/>
        </w:rPr>
        <w:t>；配合部门：</w:t>
      </w:r>
      <w:r>
        <w:rPr>
          <w:rFonts w:hint="eastAsia" w:ascii="仿宋" w:hAnsi="仿宋" w:eastAsia="仿宋"/>
          <w:kern w:val="0"/>
          <w:szCs w:val="32"/>
        </w:rPr>
        <w:t>区直机关各有关部门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2.</w:t>
      </w:r>
      <w:r>
        <w:rPr>
          <w:rFonts w:ascii="仿宋" w:hAnsi="仿宋" w:eastAsia="仿宋"/>
          <w:b/>
          <w:bCs/>
          <w:kern w:val="0"/>
          <w:szCs w:val="32"/>
        </w:rPr>
        <w:t>持续放宽</w:t>
      </w:r>
      <w:r>
        <w:rPr>
          <w:rFonts w:hint="eastAsia" w:ascii="仿宋" w:hAnsi="仿宋" w:eastAsia="仿宋"/>
          <w:b/>
          <w:bCs/>
          <w:kern w:val="0"/>
          <w:szCs w:val="32"/>
        </w:rPr>
        <w:t>经营主体准入</w:t>
      </w:r>
      <w:r>
        <w:rPr>
          <w:rFonts w:ascii="仿宋" w:hAnsi="仿宋" w:eastAsia="仿宋"/>
          <w:b/>
          <w:bCs/>
          <w:kern w:val="0"/>
          <w:szCs w:val="32"/>
        </w:rPr>
        <w:t>条件。</w:t>
      </w:r>
      <w:r>
        <w:rPr>
          <w:rFonts w:hint="eastAsia" w:ascii="仿宋" w:hAnsi="仿宋" w:eastAsia="仿宋"/>
          <w:kern w:val="0"/>
          <w:szCs w:val="32"/>
        </w:rPr>
        <w:t>开展经营主体“集群注册”，允许多家经营主体使用已注册企业地址办理营业执照；从事无需许可的经营主体可以在住所外增设经营场所，不再办理分支机构登记；推行住所（经营场所）登记承诺制，凡“e窗通”提供地址无需经营主体提交住所（经营场所）使用证明。</w:t>
      </w:r>
      <w:r>
        <w:rPr>
          <w:rFonts w:ascii="仿宋" w:hAnsi="仿宋" w:eastAsia="仿宋"/>
          <w:kern w:val="0"/>
          <w:szCs w:val="32"/>
        </w:rPr>
        <w:t>（</w:t>
      </w:r>
      <w:r>
        <w:rPr>
          <w:rFonts w:hint="eastAsia" w:ascii="仿宋" w:hAnsi="仿宋" w:eastAsia="仿宋"/>
          <w:kern w:val="0"/>
          <w:szCs w:val="32"/>
        </w:rPr>
        <w:t>责任</w:t>
      </w:r>
      <w:r>
        <w:rPr>
          <w:rFonts w:ascii="仿宋" w:hAnsi="仿宋" w:eastAsia="仿宋"/>
          <w:kern w:val="0"/>
          <w:szCs w:val="32"/>
        </w:rPr>
        <w:t>部门：市场监管</w:t>
      </w:r>
      <w:r>
        <w:rPr>
          <w:rFonts w:hint="eastAsia" w:ascii="仿宋" w:hAnsi="仿宋" w:eastAsia="仿宋"/>
          <w:kern w:val="0"/>
          <w:szCs w:val="32"/>
        </w:rPr>
        <w:t>分局</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3.强化</w:t>
      </w:r>
      <w:r>
        <w:rPr>
          <w:rFonts w:ascii="仿宋" w:hAnsi="仿宋" w:eastAsia="仿宋"/>
          <w:b/>
          <w:bCs/>
          <w:kern w:val="0"/>
          <w:szCs w:val="32"/>
        </w:rPr>
        <w:t>政府采购领域</w:t>
      </w:r>
      <w:r>
        <w:rPr>
          <w:rFonts w:hint="eastAsia" w:ascii="仿宋" w:hAnsi="仿宋" w:eastAsia="仿宋"/>
          <w:b/>
          <w:bCs/>
          <w:kern w:val="0"/>
          <w:szCs w:val="32"/>
        </w:rPr>
        <w:t>管理</w:t>
      </w:r>
      <w:r>
        <w:rPr>
          <w:rFonts w:ascii="仿宋" w:hAnsi="仿宋" w:eastAsia="仿宋"/>
          <w:b/>
          <w:bCs/>
          <w:kern w:val="0"/>
          <w:szCs w:val="32"/>
        </w:rPr>
        <w:t>。</w:t>
      </w:r>
      <w:r>
        <w:rPr>
          <w:rFonts w:hint="eastAsia" w:ascii="仿宋" w:hAnsi="仿宋" w:eastAsia="仿宋"/>
          <w:kern w:val="0"/>
          <w:szCs w:val="32"/>
        </w:rPr>
        <w:t>加强与相关部门的沟通协调，形成合力，共同打击采购过程中的违法违规行为。同时，提供必要的政策指导和技术支持，为优化政府采购环境贡献力量。</w:t>
      </w:r>
      <w:r>
        <w:rPr>
          <w:rFonts w:ascii="仿宋" w:hAnsi="仿宋" w:eastAsia="仿宋"/>
          <w:kern w:val="0"/>
          <w:szCs w:val="32"/>
        </w:rPr>
        <w:t>（</w:t>
      </w:r>
      <w:r>
        <w:rPr>
          <w:rFonts w:hint="eastAsia" w:ascii="仿宋" w:hAnsi="仿宋" w:eastAsia="仿宋"/>
          <w:kern w:val="0"/>
          <w:szCs w:val="32"/>
        </w:rPr>
        <w:t>责任</w:t>
      </w:r>
      <w:r>
        <w:rPr>
          <w:rFonts w:ascii="仿宋" w:hAnsi="仿宋" w:eastAsia="仿宋"/>
          <w:kern w:val="0"/>
          <w:szCs w:val="32"/>
        </w:rPr>
        <w:t>部门：</w:t>
      </w:r>
      <w:r>
        <w:rPr>
          <w:rFonts w:hint="eastAsia" w:ascii="仿宋" w:hAnsi="仿宋" w:eastAsia="仿宋"/>
          <w:kern w:val="0"/>
          <w:szCs w:val="32"/>
        </w:rPr>
        <w:t>区</w:t>
      </w:r>
      <w:r>
        <w:rPr>
          <w:rFonts w:ascii="仿宋" w:hAnsi="仿宋" w:eastAsia="仿宋"/>
          <w:kern w:val="0"/>
          <w:szCs w:val="32"/>
        </w:rPr>
        <w:t>财政局、市场监管</w:t>
      </w:r>
      <w:r>
        <w:rPr>
          <w:rFonts w:hint="eastAsia" w:ascii="仿宋" w:hAnsi="仿宋" w:eastAsia="仿宋"/>
          <w:kern w:val="0"/>
          <w:szCs w:val="32"/>
        </w:rPr>
        <w:t>分局</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4.</w:t>
      </w:r>
      <w:r>
        <w:rPr>
          <w:rFonts w:ascii="仿宋" w:hAnsi="仿宋" w:eastAsia="仿宋"/>
          <w:b/>
          <w:bCs/>
          <w:kern w:val="0"/>
          <w:szCs w:val="32"/>
        </w:rPr>
        <w:t>增加中小企业采购预留份额。</w:t>
      </w:r>
      <w:r>
        <w:rPr>
          <w:rFonts w:hint="eastAsia" w:ascii="仿宋" w:hAnsi="仿宋" w:eastAsia="仿宋"/>
          <w:kern w:val="0"/>
          <w:szCs w:val="32"/>
        </w:rPr>
        <w:t>对于工程类政府采购项目，超过400万元适宜由中小企业的采购项目，预留份额由30%提高至40%以上，政策延续至2025年底；加强政府采购政策信息公开，推动全区各预算主管部门限时公开上一年度面向中小企业预留项目执行情况。</w:t>
      </w:r>
      <w:r>
        <w:rPr>
          <w:rFonts w:ascii="仿宋" w:hAnsi="仿宋" w:eastAsia="仿宋"/>
          <w:kern w:val="0"/>
          <w:szCs w:val="32"/>
        </w:rPr>
        <w:t>（责任部门：</w:t>
      </w:r>
      <w:r>
        <w:rPr>
          <w:rFonts w:hint="eastAsia" w:ascii="仿宋" w:hAnsi="仿宋" w:eastAsia="仿宋"/>
          <w:kern w:val="0"/>
          <w:szCs w:val="32"/>
        </w:rPr>
        <w:t>区</w:t>
      </w:r>
      <w:r>
        <w:rPr>
          <w:rFonts w:ascii="仿宋" w:hAnsi="仿宋" w:eastAsia="仿宋"/>
          <w:kern w:val="0"/>
          <w:szCs w:val="32"/>
        </w:rPr>
        <w:t>财政局）</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5.加强公共资源交易体系规范化管理。</w:t>
      </w:r>
      <w:r>
        <w:rPr>
          <w:rFonts w:hint="eastAsia" w:ascii="仿宋" w:hAnsi="仿宋" w:eastAsia="仿宋"/>
          <w:kern w:val="0"/>
          <w:szCs w:val="32"/>
        </w:rPr>
        <w:t>配合市政数局完成公共资源交易全流程电子化，在长春市公共资源交易网发布相关项目招标文件、招标公告、中标公告、合同信息等相关文件时做到及时、准确。</w:t>
      </w:r>
      <w:r>
        <w:rPr>
          <w:rFonts w:ascii="仿宋" w:hAnsi="仿宋" w:eastAsia="仿宋"/>
          <w:kern w:val="0"/>
          <w:szCs w:val="32"/>
        </w:rPr>
        <w:t>〔</w:t>
      </w:r>
      <w:r>
        <w:rPr>
          <w:rFonts w:hint="eastAsia" w:ascii="仿宋" w:hAnsi="仿宋" w:eastAsia="仿宋"/>
          <w:kern w:val="0"/>
          <w:szCs w:val="32"/>
        </w:rPr>
        <w:t>牵头</w:t>
      </w:r>
      <w:r>
        <w:rPr>
          <w:rFonts w:ascii="仿宋" w:hAnsi="仿宋" w:eastAsia="仿宋"/>
          <w:kern w:val="0"/>
          <w:szCs w:val="32"/>
        </w:rPr>
        <w:t>部门：</w:t>
      </w:r>
      <w:r>
        <w:rPr>
          <w:rFonts w:hint="eastAsia" w:ascii="仿宋" w:hAnsi="仿宋" w:eastAsia="仿宋"/>
          <w:kern w:val="0"/>
          <w:szCs w:val="32"/>
        </w:rPr>
        <w:t>区政数局；配合部门：区直机关各部门，各街（镇）、开发区</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6.</w:t>
      </w:r>
      <w:r>
        <w:rPr>
          <w:rFonts w:ascii="仿宋" w:hAnsi="仿宋" w:eastAsia="仿宋"/>
          <w:b/>
          <w:bCs/>
          <w:kern w:val="0"/>
          <w:szCs w:val="32"/>
        </w:rPr>
        <w:t>推行“枫桥式”税务服务模式。</w:t>
      </w:r>
      <w:r>
        <w:rPr>
          <w:rFonts w:hint="eastAsia" w:ascii="仿宋" w:hAnsi="仿宋" w:eastAsia="仿宋"/>
          <w:kern w:val="0"/>
          <w:szCs w:val="32"/>
        </w:rPr>
        <w:t>开展纳税人从“进门有接待”到“办事有辅导”的“一站式”服务，提升智能办税服务体验；优化“一窗全能”服务，综合受理涉税业务，全面缩短办税时长；建立“专家会诊”快速通道，健全多元预防调处机制，快速响应和化解税费争议；探索推出税费服务“回访制”，从被动“等意见”变为主动“找意见”；将第一税务所办税服务厅建成为“枫桥式”税务所，设立税费矛盾争议解决流转单、明确税费诉求和舆情分析办理工作分工；组建多语言服务团队、征纳互动服务运营团队；做好税费争议解决清册的记录，配备专业的税费争议调解团队。</w:t>
      </w:r>
      <w:r>
        <w:rPr>
          <w:rFonts w:ascii="仿宋" w:hAnsi="仿宋" w:eastAsia="仿宋"/>
          <w:kern w:val="0"/>
          <w:szCs w:val="32"/>
        </w:rPr>
        <w:t>（责任部门：</w:t>
      </w:r>
      <w:r>
        <w:rPr>
          <w:rFonts w:hint="eastAsia" w:ascii="仿宋" w:hAnsi="仿宋" w:eastAsia="仿宋"/>
          <w:kern w:val="0"/>
          <w:szCs w:val="32"/>
        </w:rPr>
        <w:t>区</w:t>
      </w:r>
      <w:r>
        <w:rPr>
          <w:rFonts w:ascii="仿宋" w:hAnsi="仿宋" w:eastAsia="仿宋"/>
          <w:kern w:val="0"/>
          <w:szCs w:val="32"/>
        </w:rPr>
        <w:t>税务局）</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7.</w:t>
      </w:r>
      <w:r>
        <w:rPr>
          <w:rFonts w:ascii="仿宋" w:hAnsi="仿宋" w:eastAsia="仿宋"/>
          <w:b/>
          <w:bCs/>
          <w:kern w:val="0"/>
          <w:szCs w:val="32"/>
        </w:rPr>
        <w:t>整治涉企违规收费行为。</w:t>
      </w:r>
      <w:r>
        <w:rPr>
          <w:rFonts w:hint="eastAsia" w:ascii="仿宋" w:hAnsi="仿宋" w:eastAsia="仿宋"/>
          <w:kern w:val="0"/>
          <w:szCs w:val="32"/>
        </w:rPr>
        <w:t>重点围绕交通物流、水电气暖、金融等领域，开展涉企违规收费专项治理，进一步规范涉企收费行为；探索开展涉企收费常态化整治，适时“回头看”，持续巩固涉企违规收费专项治理工作成果。</w:t>
      </w:r>
      <w:r>
        <w:rPr>
          <w:rFonts w:ascii="仿宋" w:hAnsi="仿宋" w:eastAsia="仿宋"/>
          <w:kern w:val="0"/>
          <w:szCs w:val="32"/>
        </w:rPr>
        <w:t>〔牵头部门：市场监管</w:t>
      </w:r>
      <w:r>
        <w:rPr>
          <w:rFonts w:hint="eastAsia" w:ascii="仿宋" w:hAnsi="仿宋" w:eastAsia="仿宋"/>
          <w:kern w:val="0"/>
          <w:szCs w:val="32"/>
        </w:rPr>
        <w:t>分</w:t>
      </w:r>
      <w:r>
        <w:rPr>
          <w:rFonts w:ascii="仿宋" w:hAnsi="仿宋" w:eastAsia="仿宋"/>
          <w:kern w:val="0"/>
          <w:szCs w:val="32"/>
        </w:rPr>
        <w:t>局、</w:t>
      </w:r>
      <w:r>
        <w:rPr>
          <w:rFonts w:hint="eastAsia" w:ascii="仿宋" w:hAnsi="仿宋" w:eastAsia="仿宋"/>
          <w:kern w:val="0"/>
          <w:szCs w:val="32"/>
        </w:rPr>
        <w:t>区</w:t>
      </w:r>
      <w:r>
        <w:rPr>
          <w:rFonts w:ascii="仿宋" w:hAnsi="仿宋" w:eastAsia="仿宋"/>
          <w:kern w:val="0"/>
          <w:szCs w:val="32"/>
        </w:rPr>
        <w:t>税务局；配合部门：</w:t>
      </w:r>
      <w:r>
        <w:rPr>
          <w:rFonts w:hint="eastAsia" w:ascii="仿宋" w:hAnsi="仿宋" w:eastAsia="仿宋"/>
          <w:kern w:val="0"/>
          <w:szCs w:val="32"/>
        </w:rPr>
        <w:t>区</w:t>
      </w:r>
      <w:r>
        <w:rPr>
          <w:rFonts w:ascii="仿宋" w:hAnsi="仿宋" w:eastAsia="仿宋"/>
          <w:kern w:val="0"/>
          <w:szCs w:val="32"/>
        </w:rPr>
        <w:t>财政局、</w:t>
      </w:r>
      <w:r>
        <w:rPr>
          <w:rFonts w:hint="eastAsia" w:ascii="仿宋" w:hAnsi="仿宋" w:eastAsia="仿宋"/>
          <w:kern w:val="0"/>
          <w:szCs w:val="32"/>
        </w:rPr>
        <w:t>区住</w:t>
      </w:r>
      <w:r>
        <w:rPr>
          <w:rFonts w:ascii="仿宋" w:hAnsi="仿宋" w:eastAsia="仿宋"/>
          <w:kern w:val="0"/>
          <w:szCs w:val="32"/>
        </w:rPr>
        <w:t>建</w:t>
      </w:r>
      <w:r>
        <w:rPr>
          <w:rFonts w:hint="eastAsia" w:ascii="仿宋" w:hAnsi="仿宋" w:eastAsia="仿宋"/>
          <w:kern w:val="0"/>
          <w:szCs w:val="32"/>
        </w:rPr>
        <w:t>局</w:t>
      </w:r>
      <w:r>
        <w:rPr>
          <w:rFonts w:ascii="仿宋" w:hAnsi="仿宋" w:eastAsia="仿宋"/>
          <w:kern w:val="0"/>
          <w:szCs w:val="32"/>
        </w:rPr>
        <w:t>、</w:t>
      </w:r>
      <w:r>
        <w:rPr>
          <w:rFonts w:hint="eastAsia" w:ascii="仿宋" w:hAnsi="仿宋" w:eastAsia="仿宋"/>
          <w:kern w:val="0"/>
          <w:szCs w:val="32"/>
        </w:rPr>
        <w:t>区</w:t>
      </w:r>
      <w:r>
        <w:rPr>
          <w:rFonts w:ascii="仿宋" w:hAnsi="仿宋" w:eastAsia="仿宋"/>
          <w:kern w:val="0"/>
          <w:szCs w:val="32"/>
        </w:rPr>
        <w:t>司法局、医保</w:t>
      </w:r>
      <w:r>
        <w:rPr>
          <w:rFonts w:hint="eastAsia" w:ascii="仿宋" w:hAnsi="仿宋" w:eastAsia="仿宋"/>
          <w:kern w:val="0"/>
          <w:szCs w:val="32"/>
        </w:rPr>
        <w:t>分</w:t>
      </w:r>
      <w:r>
        <w:rPr>
          <w:rFonts w:ascii="仿宋" w:hAnsi="仿宋" w:eastAsia="仿宋"/>
          <w:kern w:val="0"/>
          <w:szCs w:val="32"/>
        </w:rPr>
        <w:t>局等</w:t>
      </w:r>
      <w:r>
        <w:rPr>
          <w:rFonts w:hint="eastAsia" w:ascii="仿宋" w:hAnsi="仿宋" w:eastAsia="仿宋"/>
          <w:kern w:val="0"/>
          <w:szCs w:val="32"/>
        </w:rPr>
        <w:t>相</w:t>
      </w:r>
      <w:r>
        <w:rPr>
          <w:rFonts w:ascii="仿宋" w:hAnsi="仿宋" w:eastAsia="仿宋"/>
          <w:kern w:val="0"/>
          <w:szCs w:val="32"/>
        </w:rPr>
        <w:t>关部门〕</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8.集聚优质项目，形成协同发展“雁阵效应”。</w:t>
      </w:r>
      <w:r>
        <w:rPr>
          <w:rFonts w:hint="eastAsia" w:ascii="仿宋" w:hAnsi="仿宋" w:eastAsia="仿宋"/>
          <w:kern w:val="0"/>
          <w:szCs w:val="32"/>
        </w:rPr>
        <w:t>聚焦战略性新兴产业，加快工业转型升级步伐；聚焦消费热点产业，构建多元消费新格局；聚焦现代服务业，突出主导产业赋能；聚焦会展平台作用，促进展产融合发展。</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商务局；配合部门：</w:t>
      </w:r>
      <w:r>
        <w:rPr>
          <w:rFonts w:hint="eastAsia" w:ascii="仿宋" w:hAnsi="仿宋" w:eastAsia="仿宋"/>
          <w:kern w:val="0"/>
          <w:szCs w:val="32"/>
        </w:rPr>
        <w:t>招商引资专项行动52个相关部门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9.</w:t>
      </w:r>
      <w:r>
        <w:rPr>
          <w:rFonts w:ascii="仿宋" w:hAnsi="仿宋" w:eastAsia="仿宋"/>
          <w:b/>
          <w:bCs/>
          <w:kern w:val="0"/>
          <w:szCs w:val="32"/>
        </w:rPr>
        <w:t>深化经营主体退出便利化改革。</w:t>
      </w:r>
      <w:r>
        <w:rPr>
          <w:rFonts w:hint="eastAsia" w:ascii="仿宋" w:hAnsi="仿宋" w:eastAsia="仿宋"/>
          <w:kern w:val="0"/>
          <w:szCs w:val="32"/>
        </w:rPr>
        <w:t>扩大简易注销适用范围，推动税务、社保、银行账户注销等事项一网服务、同步办理，降低经营主体退出成本。</w:t>
      </w:r>
      <w:r>
        <w:rPr>
          <w:rFonts w:ascii="仿宋" w:hAnsi="仿宋" w:eastAsia="仿宋"/>
          <w:kern w:val="0"/>
          <w:szCs w:val="32"/>
        </w:rPr>
        <w:t>（牵头部门：市场监管</w:t>
      </w:r>
      <w:r>
        <w:rPr>
          <w:rFonts w:hint="eastAsia" w:ascii="仿宋" w:hAnsi="仿宋" w:eastAsia="仿宋"/>
          <w:kern w:val="0"/>
          <w:szCs w:val="32"/>
        </w:rPr>
        <w:t>分</w:t>
      </w:r>
      <w:r>
        <w:rPr>
          <w:rFonts w:ascii="仿宋" w:hAnsi="仿宋" w:eastAsia="仿宋"/>
          <w:kern w:val="0"/>
          <w:szCs w:val="32"/>
        </w:rPr>
        <w:t>局；配合部门：公安</w:t>
      </w:r>
      <w:r>
        <w:rPr>
          <w:rFonts w:hint="eastAsia" w:ascii="仿宋" w:hAnsi="仿宋" w:eastAsia="仿宋"/>
          <w:kern w:val="0"/>
          <w:szCs w:val="32"/>
        </w:rPr>
        <w:t>分</w:t>
      </w:r>
      <w:r>
        <w:rPr>
          <w:rFonts w:ascii="仿宋" w:hAnsi="仿宋" w:eastAsia="仿宋"/>
          <w:kern w:val="0"/>
          <w:szCs w:val="32"/>
        </w:rPr>
        <w:t>局、</w:t>
      </w:r>
      <w:r>
        <w:rPr>
          <w:rFonts w:hint="eastAsia" w:ascii="仿宋" w:hAnsi="仿宋" w:eastAsia="仿宋"/>
          <w:kern w:val="0"/>
          <w:szCs w:val="32"/>
        </w:rPr>
        <w:t>区</w:t>
      </w:r>
      <w:r>
        <w:rPr>
          <w:rFonts w:ascii="仿宋" w:hAnsi="仿宋" w:eastAsia="仿宋"/>
          <w:kern w:val="0"/>
          <w:szCs w:val="32"/>
        </w:rPr>
        <w:t>税务局、</w:t>
      </w:r>
      <w:r>
        <w:rPr>
          <w:rFonts w:hint="eastAsia" w:ascii="仿宋" w:hAnsi="仿宋" w:eastAsia="仿宋"/>
          <w:kern w:val="0"/>
          <w:szCs w:val="32"/>
        </w:rPr>
        <w:t>区</w:t>
      </w:r>
      <w:r>
        <w:rPr>
          <w:rFonts w:ascii="仿宋" w:hAnsi="仿宋" w:eastAsia="仿宋"/>
          <w:kern w:val="0"/>
          <w:szCs w:val="32"/>
        </w:rPr>
        <w:t>人社局）</w:t>
      </w:r>
    </w:p>
    <w:p>
      <w:pPr>
        <w:pStyle w:val="8"/>
        <w:spacing w:before="0" w:beforeAutospacing="0" w:after="0" w:afterAutospacing="0" w:line="576" w:lineRule="exact"/>
        <w:ind w:firstLine="643"/>
        <w:jc w:val="both"/>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打造高效便利的政务环境</w:t>
      </w:r>
    </w:p>
    <w:p>
      <w:pPr>
        <w:pStyle w:val="2"/>
        <w:spacing w:line="576" w:lineRule="exact"/>
        <w:ind w:firstLine="640"/>
        <w:jc w:val="both"/>
        <w:rPr>
          <w:rFonts w:ascii="仿宋" w:hAnsi="仿宋" w:eastAsia="仿宋"/>
          <w:kern w:val="0"/>
          <w:szCs w:val="32"/>
        </w:rPr>
      </w:pPr>
      <w:r>
        <w:rPr>
          <w:rFonts w:hint="eastAsia" w:ascii="仿宋" w:hAnsi="仿宋" w:eastAsia="仿宋"/>
          <w:kern w:val="0"/>
          <w:szCs w:val="32"/>
        </w:rPr>
        <w:t>着力解决经营主体</w:t>
      </w:r>
      <w:r>
        <w:rPr>
          <w:rFonts w:ascii="仿宋" w:hAnsi="仿宋" w:eastAsia="仿宋"/>
          <w:kern w:val="0"/>
          <w:szCs w:val="32"/>
        </w:rPr>
        <w:t>办事多头跑、不便利、成本高、信息不对称，以及对政策不知晓、找不着、不会办等问题。</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10.</w:t>
      </w:r>
      <w:r>
        <w:rPr>
          <w:rFonts w:ascii="仿宋" w:hAnsi="仿宋" w:eastAsia="仿宋"/>
          <w:b/>
          <w:bCs/>
          <w:kern w:val="0"/>
          <w:szCs w:val="32"/>
        </w:rPr>
        <w:t>持续推进政务服务事项标准化。</w:t>
      </w:r>
      <w:r>
        <w:rPr>
          <w:rFonts w:hint="eastAsia" w:ascii="仿宋" w:hAnsi="仿宋" w:eastAsia="仿宋"/>
          <w:kern w:val="0"/>
          <w:szCs w:val="32"/>
        </w:rPr>
        <w:t>根据市级关于政务服务事项库事项管理的相关要求，加强政务服务事项库事项要素信息精细化规范化管理，实现本区政务服务事项实施要素规范统一，持续提高办事指南精准度。</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政数局；配合部门：</w:t>
      </w:r>
      <w:r>
        <w:rPr>
          <w:rFonts w:hint="eastAsia" w:ascii="仿宋" w:hAnsi="仿宋" w:eastAsia="仿宋"/>
          <w:kern w:val="0"/>
          <w:szCs w:val="32"/>
        </w:rPr>
        <w:t>各街（镇）、开发区，区直机关各部门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11.</w:t>
      </w:r>
      <w:r>
        <w:rPr>
          <w:rFonts w:ascii="仿宋" w:hAnsi="仿宋" w:eastAsia="仿宋"/>
          <w:b/>
          <w:bCs/>
          <w:kern w:val="0"/>
          <w:szCs w:val="32"/>
        </w:rPr>
        <w:t>健全政务大厅标准体系。</w:t>
      </w:r>
      <w:r>
        <w:rPr>
          <w:rFonts w:hint="eastAsia" w:ascii="仿宋" w:hAnsi="仿宋" w:eastAsia="仿宋"/>
          <w:kern w:val="0"/>
          <w:szCs w:val="32"/>
        </w:rPr>
        <w:t>根据市级制定的政务大厅标准体系目录清单内容，依据实际情况，主动认领标准化体系建设试点任务，对涉及标准化体系建设试点任务的街（镇）、开发区充分调动积极性，做好试点任务的应用工作，为全市形成更多政务服务“长春标准”添砖加瓦。</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政数局；配合部门：</w:t>
      </w:r>
      <w:r>
        <w:rPr>
          <w:rFonts w:hint="eastAsia" w:ascii="仿宋" w:hAnsi="仿宋" w:eastAsia="仿宋"/>
          <w:kern w:val="0"/>
          <w:szCs w:val="32"/>
        </w:rPr>
        <w:t>各街（镇）、开发区，区直机关各部门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12.</w:t>
      </w:r>
      <w:r>
        <w:rPr>
          <w:rFonts w:ascii="仿宋" w:hAnsi="仿宋" w:eastAsia="仿宋"/>
          <w:b/>
          <w:bCs/>
          <w:kern w:val="0"/>
          <w:szCs w:val="32"/>
        </w:rPr>
        <w:t>推动更多事项实现“高效办成一件事”。</w:t>
      </w:r>
      <w:r>
        <w:rPr>
          <w:rFonts w:ascii="仿宋" w:hAnsi="仿宋" w:eastAsia="仿宋"/>
          <w:kern w:val="0"/>
          <w:szCs w:val="32"/>
        </w:rPr>
        <w:t>在省</w:t>
      </w:r>
      <w:r>
        <w:rPr>
          <w:rFonts w:hint="eastAsia" w:ascii="仿宋" w:hAnsi="仿宋" w:eastAsia="仿宋"/>
          <w:kern w:val="0"/>
          <w:szCs w:val="32"/>
        </w:rPr>
        <w:t>、市</w:t>
      </w:r>
      <w:r>
        <w:rPr>
          <w:rFonts w:ascii="仿宋" w:hAnsi="仿宋" w:eastAsia="仿宋"/>
          <w:kern w:val="0"/>
          <w:szCs w:val="32"/>
        </w:rPr>
        <w:t>统一部署下，加快推进国家和省级“企业信息变更”“开办运输企业”“新生儿出生”等13个“一件事一次办”快速落地</w:t>
      </w:r>
      <w:r>
        <w:rPr>
          <w:rFonts w:hint="eastAsia" w:ascii="仿宋" w:hAnsi="仿宋" w:eastAsia="仿宋"/>
          <w:kern w:val="0"/>
          <w:szCs w:val="32"/>
        </w:rPr>
        <w:t>。</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政数局；配合部门：</w:t>
      </w:r>
      <w:r>
        <w:rPr>
          <w:rFonts w:hint="eastAsia" w:ascii="仿宋" w:hAnsi="仿宋" w:eastAsia="仿宋"/>
          <w:kern w:val="0"/>
          <w:szCs w:val="32"/>
        </w:rPr>
        <w:t>各街（镇）、开发区，区直机关各部门</w:t>
      </w:r>
      <w:r>
        <w:rPr>
          <w:rFonts w:ascii="仿宋" w:hAnsi="仿宋" w:eastAsia="仿宋"/>
          <w:kern w:val="0"/>
          <w:szCs w:val="32"/>
        </w:rPr>
        <w:t>〕</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13.</w:t>
      </w:r>
      <w:r>
        <w:rPr>
          <w:rFonts w:ascii="仿宋" w:hAnsi="仿宋" w:eastAsia="仿宋"/>
          <w:b/>
          <w:bCs/>
          <w:kern w:val="0"/>
          <w:szCs w:val="32"/>
        </w:rPr>
        <w:t>深化政务服务“极简审批”。</w:t>
      </w:r>
      <w:r>
        <w:rPr>
          <w:rFonts w:hint="eastAsia" w:ascii="仿宋" w:hAnsi="仿宋" w:eastAsia="仿宋"/>
          <w:kern w:val="0"/>
          <w:szCs w:val="32"/>
        </w:rPr>
        <w:t>依托电子证照、电子印章、电子材料等数字技术手段，推动全区政务服务事项、行政许可事项即办件占比分别达到53%、43%，承诺时限分别压缩83%、78%。</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政数局；配合部门：</w:t>
      </w:r>
      <w:r>
        <w:rPr>
          <w:rFonts w:hint="eastAsia" w:ascii="仿宋" w:hAnsi="仿宋" w:eastAsia="仿宋"/>
          <w:kern w:val="0"/>
          <w:szCs w:val="32"/>
        </w:rPr>
        <w:t>各街（镇）、开发区，区直机关各部门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14.</w:t>
      </w:r>
      <w:r>
        <w:rPr>
          <w:rFonts w:ascii="仿宋" w:hAnsi="仿宋" w:eastAsia="仿宋"/>
          <w:b/>
          <w:bCs/>
          <w:kern w:val="0"/>
          <w:szCs w:val="32"/>
        </w:rPr>
        <w:t>提升“AI+政务服务”水平。</w:t>
      </w:r>
      <w:r>
        <w:rPr>
          <w:rFonts w:hint="eastAsia" w:ascii="仿宋" w:hAnsi="仿宋" w:eastAsia="仿宋"/>
          <w:kern w:val="0"/>
          <w:szCs w:val="32"/>
        </w:rPr>
        <w:t>协调推动“电子证照扩大应用领域和互通互认”工作，征集证照电子化需求和制作电子证照需求，协助各部门依托吉林省政务服务事项全流程审批系统，申请增加审批制证功能生成电子证照，开展证照数据归集，推动电子证照场景化应用，依托共享平台提供电子证照应用核验支撑。</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政数局；配合部门：</w:t>
      </w:r>
      <w:r>
        <w:rPr>
          <w:rFonts w:hint="eastAsia" w:ascii="仿宋" w:hAnsi="仿宋" w:eastAsia="仿宋"/>
          <w:kern w:val="0"/>
          <w:szCs w:val="32"/>
        </w:rPr>
        <w:t>各街（镇）、开发区，区直机关各部门、驻区市直部门</w:t>
      </w:r>
      <w:r>
        <w:rPr>
          <w:rFonts w:ascii="仿宋" w:hAnsi="仿宋" w:eastAsia="仿宋"/>
          <w:kern w:val="0"/>
          <w:szCs w:val="32"/>
        </w:rPr>
        <w:t>〕</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15.</w:t>
      </w:r>
      <w:r>
        <w:rPr>
          <w:rFonts w:ascii="仿宋" w:hAnsi="仿宋" w:eastAsia="仿宋"/>
          <w:b/>
          <w:bCs/>
          <w:kern w:val="0"/>
          <w:szCs w:val="32"/>
        </w:rPr>
        <w:t>开展</w:t>
      </w:r>
      <w:r>
        <w:rPr>
          <w:rFonts w:ascii="仿宋" w:hAnsi="仿宋" w:eastAsia="仿宋"/>
          <w:b/>
          <w:bCs/>
          <w:kern w:val="0"/>
          <w:szCs w:val="32"/>
          <w:lang w:val="en"/>
        </w:rPr>
        <w:t>政策“精准推送”“免申即享”。</w:t>
      </w:r>
      <w:r>
        <w:rPr>
          <w:rFonts w:hint="eastAsia" w:ascii="仿宋" w:hAnsi="仿宋" w:eastAsia="仿宋"/>
          <w:kern w:val="0"/>
          <w:szCs w:val="32"/>
        </w:rPr>
        <w:t xml:space="preserve"> 根据长春市《惠企惠民政策标准化审查办法》，实现惠企惠民政策全部纳入直达平台办理；丰富完善“惠企政策库”和“企业画像库”，推动惠企惠民政策由“广泛推送”向“精准推送”转变；完善政策发布、解读、办理三同步机制，综合运用自媒体、短视频、直播等方式宣传解读政策，提升政策通达性和知晓率；开展平台政策执行情况评估，为政策下步执行和财政拨付提供参考。（牵头部门：区政数局；配合部门：区直机关各政策制定和实施部门）</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16.设立助企服务办公室。</w:t>
      </w:r>
      <w:r>
        <w:rPr>
          <w:rFonts w:hint="eastAsia" w:ascii="仿宋" w:hAnsi="仿宋" w:eastAsia="仿宋"/>
          <w:kern w:val="0"/>
          <w:szCs w:val="32"/>
        </w:rPr>
        <w:t>以企业诉求为导向，设立助企服务办公室，围绕企业开办、变更、注销等企业发展全生命周期，为各类企业提供线上线下政策咨询、全程帮办代办、辅助业务申报等各类服务，进一步优化营商环境，更好地服务企业发展。</w:t>
      </w:r>
      <w:r>
        <w:rPr>
          <w:rFonts w:ascii="仿宋" w:hAnsi="仿宋" w:eastAsia="仿宋"/>
          <w:kern w:val="0"/>
          <w:szCs w:val="32"/>
        </w:rPr>
        <w:t>（牵头部门：</w:t>
      </w:r>
      <w:r>
        <w:rPr>
          <w:rFonts w:hint="eastAsia" w:ascii="仿宋" w:hAnsi="仿宋" w:eastAsia="仿宋"/>
          <w:kern w:val="0"/>
          <w:szCs w:val="32"/>
        </w:rPr>
        <w:t>区政数</w:t>
      </w:r>
      <w:r>
        <w:rPr>
          <w:rFonts w:ascii="仿宋" w:hAnsi="仿宋" w:eastAsia="仿宋"/>
          <w:kern w:val="0"/>
          <w:szCs w:val="32"/>
        </w:rPr>
        <w:t>局；</w:t>
      </w:r>
      <w:r>
        <w:rPr>
          <w:rFonts w:hint="eastAsia" w:ascii="仿宋" w:hAnsi="仿宋" w:eastAsia="仿宋"/>
          <w:kern w:val="0"/>
          <w:szCs w:val="32"/>
        </w:rPr>
        <w:t>配合</w:t>
      </w:r>
      <w:r>
        <w:rPr>
          <w:rFonts w:ascii="仿宋" w:hAnsi="仿宋" w:eastAsia="仿宋"/>
          <w:kern w:val="0"/>
          <w:szCs w:val="32"/>
        </w:rPr>
        <w:t>部门：</w:t>
      </w:r>
      <w:r>
        <w:rPr>
          <w:rFonts w:hint="eastAsia" w:ascii="仿宋" w:hAnsi="仿宋" w:eastAsia="仿宋"/>
          <w:kern w:val="0"/>
          <w:szCs w:val="32"/>
        </w:rPr>
        <w:t>区直机关各相关部门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17.探索工程建设项目全流程“无纸化”审批。</w:t>
      </w:r>
      <w:r>
        <w:rPr>
          <w:rFonts w:hint="eastAsia" w:ascii="仿宋" w:hAnsi="仿宋" w:eastAsia="仿宋"/>
          <w:kern w:val="0"/>
          <w:szCs w:val="32"/>
        </w:rPr>
        <w:t>强化工程建设项目全过程图纸数字化管理系统应用，加快电子签名、电子印章、电子证照、电子材料、电子档案等在工程建设项目全流程网上办理过程中的应用。持续推动工程建设项目全流程审批涉及的行政审批、备案、评估评价、中介服务、市政公用服务等事项全流程网上办理，进一步降低企业办事成本。</w:t>
      </w:r>
      <w:r>
        <w:rPr>
          <w:rFonts w:ascii="仿宋" w:hAnsi="仿宋" w:eastAsia="仿宋"/>
          <w:kern w:val="0"/>
          <w:szCs w:val="32"/>
        </w:rPr>
        <w:t>（牵头部门：</w:t>
      </w:r>
      <w:r>
        <w:rPr>
          <w:rFonts w:hint="eastAsia" w:ascii="仿宋" w:hAnsi="仿宋" w:eastAsia="仿宋"/>
          <w:kern w:val="0"/>
          <w:szCs w:val="32"/>
        </w:rPr>
        <w:t>区规自分局</w:t>
      </w:r>
      <w:r>
        <w:rPr>
          <w:rFonts w:ascii="仿宋" w:hAnsi="仿宋" w:eastAsia="仿宋"/>
          <w:kern w:val="0"/>
          <w:szCs w:val="32"/>
        </w:rPr>
        <w:t>；配合部门：</w:t>
      </w:r>
      <w:r>
        <w:rPr>
          <w:rFonts w:hint="eastAsia" w:ascii="仿宋" w:hAnsi="仿宋" w:eastAsia="仿宋"/>
          <w:kern w:val="0"/>
          <w:szCs w:val="32"/>
        </w:rPr>
        <w:t>区直机关各相关部门</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18.加强项目建设审批服务。</w:t>
      </w:r>
      <w:r>
        <w:rPr>
          <w:rFonts w:hint="eastAsia" w:ascii="仿宋" w:hAnsi="仿宋" w:eastAsia="仿宋"/>
          <w:kern w:val="0"/>
          <w:szCs w:val="32"/>
        </w:rPr>
        <w:t>严格项目立项审批流程，把关项目是否符合国家产业政策、投资政策的规定、行业准入等有关标准和规定；按照国家、省、市文件要求进行专项申报，确保申报项目符合专项资金投向、属于重点支持领域，为项目建设提供便捷、高效、畅通的审批服务。</w:t>
      </w:r>
      <w:r>
        <w:rPr>
          <w:rFonts w:ascii="仿宋" w:hAnsi="仿宋" w:eastAsia="仿宋"/>
          <w:kern w:val="0"/>
          <w:szCs w:val="32"/>
        </w:rPr>
        <w:t>（</w:t>
      </w:r>
      <w:r>
        <w:rPr>
          <w:rFonts w:hint="eastAsia" w:ascii="仿宋" w:hAnsi="仿宋" w:eastAsia="仿宋"/>
          <w:kern w:val="0"/>
          <w:szCs w:val="32"/>
        </w:rPr>
        <w:t>责任</w:t>
      </w:r>
      <w:r>
        <w:rPr>
          <w:rFonts w:ascii="仿宋" w:hAnsi="仿宋" w:eastAsia="仿宋"/>
          <w:kern w:val="0"/>
          <w:szCs w:val="32"/>
        </w:rPr>
        <w:t>部门：</w:t>
      </w:r>
      <w:r>
        <w:rPr>
          <w:rFonts w:hint="eastAsia" w:ascii="仿宋" w:hAnsi="仿宋" w:eastAsia="仿宋"/>
          <w:kern w:val="0"/>
          <w:szCs w:val="32"/>
        </w:rPr>
        <w:t>区发改局</w:t>
      </w:r>
      <w:r>
        <w:rPr>
          <w:rFonts w:ascii="仿宋" w:hAnsi="仿宋" w:eastAsia="仿宋"/>
          <w:kern w:val="0"/>
          <w:szCs w:val="32"/>
        </w:rPr>
        <w:t>）</w:t>
      </w:r>
    </w:p>
    <w:p>
      <w:pPr>
        <w:pStyle w:val="8"/>
        <w:spacing w:before="0" w:beforeAutospacing="0" w:after="0" w:afterAutospacing="0" w:line="576" w:lineRule="exact"/>
        <w:ind w:firstLine="643"/>
        <w:jc w:val="both"/>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w:t>
      </w:r>
      <w:r>
        <w:rPr>
          <w:rFonts w:ascii="楷体_GB2312" w:hAnsi="Times New Roman" w:eastAsia="楷体_GB2312" w:cs="Times New Roman"/>
          <w:b/>
          <w:sz w:val="32"/>
          <w:szCs w:val="32"/>
        </w:rPr>
        <w:t>打造公平公正的法治环境</w:t>
      </w:r>
    </w:p>
    <w:p>
      <w:pPr>
        <w:pStyle w:val="2"/>
        <w:spacing w:line="576" w:lineRule="exact"/>
        <w:ind w:firstLine="640"/>
        <w:jc w:val="both"/>
        <w:rPr>
          <w:rFonts w:hint="eastAsia" w:ascii="仿宋" w:hAnsi="仿宋" w:eastAsia="仿宋"/>
          <w:kern w:val="0"/>
          <w:szCs w:val="32"/>
        </w:rPr>
      </w:pPr>
      <w:r>
        <w:rPr>
          <w:rFonts w:hint="eastAsia" w:ascii="仿宋" w:hAnsi="仿宋" w:eastAsia="仿宋"/>
          <w:kern w:val="0"/>
          <w:szCs w:val="32"/>
        </w:rPr>
        <w:t>着力解决</w:t>
      </w:r>
      <w:r>
        <w:rPr>
          <w:rFonts w:ascii="仿宋" w:hAnsi="仿宋" w:eastAsia="仿宋"/>
          <w:kern w:val="0"/>
          <w:szCs w:val="32"/>
        </w:rPr>
        <w:t>监管执法透明度不高、执法不公正不规范、干扰正常</w:t>
      </w:r>
      <w:r>
        <w:rPr>
          <w:rFonts w:hint="eastAsia" w:ascii="仿宋" w:hAnsi="仿宋" w:eastAsia="仿宋"/>
          <w:kern w:val="0"/>
          <w:szCs w:val="32"/>
        </w:rPr>
        <w:t>生产经营、信用修复程序复杂、知识产权保护力度不够、员工工资存在欠薪风险等问题。</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19.加强行政执法规范化建设。</w:t>
      </w:r>
      <w:r>
        <w:rPr>
          <w:rFonts w:hint="eastAsia" w:ascii="仿宋" w:hAnsi="仿宋" w:eastAsia="仿宋"/>
          <w:kern w:val="0"/>
          <w:szCs w:val="32"/>
        </w:rPr>
        <w:t>严格落实行政执法三项制度，开展案件评查、个案监督及法治指导，强化执法监督力度；完善行政执法裁量权基准制度，细化量化并向社会公开行政裁量权基准，防止行政执法该严不严、该宽不宽、畸轻畸重、类案不同罚等问题发生；创新涉企行政执法工作机制，在行政执法各环节对涉企案件生产经营可能受到的影响进行分析评估并作出有效防范和处置，降低行政执法对企业的负面影响；进一步规范和提高全区各级行政执法部门执法水平，按照国务院、吉林省《提升行政执法质量三年行动计划（2023—2025年）》工作要求，动员部署全区行政执法规范化建设提升行动，出台方案、细化工作任务、明确工作措施和时间节点，促进各行政执法部门及执法人员依法行政。（牵头部门：区司法局；配合部门：区直机关各执法部门）</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20.开展行政合规轻罚免罚试点。</w:t>
      </w:r>
      <w:r>
        <w:rPr>
          <w:rFonts w:hint="eastAsia" w:ascii="仿宋" w:hAnsi="仿宋" w:eastAsia="仿宋"/>
          <w:kern w:val="0"/>
          <w:szCs w:val="32"/>
        </w:rPr>
        <w:t>根据上级关于行政合规轻罚免罚要求，在市场等领域试点开展行政合规轻罚免罚改革，在相关部门的批准和指导下，执法大队基层执法人员对违法行为轻微、整改落实到位、未造成危害后果的市场经营主体，监督、指导建立合规运行机制，通过验收后作出从轻、减轻或者不予处罚决定。（责任部门：区司法局、市场监管分局）</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21.构建“无事不扰”监管模式。</w:t>
      </w:r>
      <w:r>
        <w:rPr>
          <w:rFonts w:hint="eastAsia" w:ascii="仿宋" w:hAnsi="仿宋" w:eastAsia="仿宋"/>
          <w:kern w:val="0"/>
          <w:szCs w:val="32"/>
        </w:rPr>
        <w:t>全面实施跨部门联合“双随机、一公开”监管，双随机抽查工作计划完成率、抽查结果公示率均达到100%；完善“通用+专业”分类监管模型，合理调整抽查频率和频次，对守法者“无事不扰”；持续实施精准监管，逐步探索开展综合监管，提升免打扰率。（责任部门：市场监管分局、区司法局、区政数局等区直机关各执法部门）</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22.打造信用修复“长春模式”。</w:t>
      </w:r>
      <w:r>
        <w:rPr>
          <w:rFonts w:hint="eastAsia" w:ascii="仿宋" w:hAnsi="仿宋" w:eastAsia="仿宋"/>
          <w:kern w:val="0"/>
          <w:szCs w:val="32"/>
        </w:rPr>
        <w:t xml:space="preserve"> 依法依规开展信用修复，畅通企业信用修复渠道，由作出处罚部门配合提醒告知督促企业，做到有序修复、应修尽修；对高风险经营主体在年报、长期停业未经营等环节开展失信警示提醒，前移信用监管关口；推行行政处罚决定书和信用修复告知书“两书同达”，完善信用修复“一套材料、一体告知”工作机制，探索信用修复“一站式”“一件事”服务，不断释放经营主体活力。（牵头部门：区政数局、市场监管分局；配合部门：区法院、区直机关各有关部门、社会信用体系成员单位）</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 xml:space="preserve">23.开展劳动用工“法治体检”。 </w:t>
      </w:r>
      <w:r>
        <w:rPr>
          <w:rFonts w:hint="eastAsia" w:ascii="仿宋" w:hAnsi="仿宋" w:eastAsia="仿宋"/>
          <w:kern w:val="0"/>
          <w:szCs w:val="32"/>
        </w:rPr>
        <w:t>督促用人单位完善劳动保障各项规定；开展农民工工资担保宣传工作，防范化解欠薪风险；完善与金融监管部门信息沟通和执法协作；持续深化“三方五家”调处中心及基层调解队伍建设，将暖心调解与专业调解有机结合，实现劳动争议多元化解格局。（责任部门：区人社局；配合部门：区根治拖欠农民工工资工作领导小组成员单位、区法院、区司法局、区总工会、区工商业联合会）</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24.开展国家知识产权保护示范区创建工作。</w:t>
      </w:r>
      <w:r>
        <w:rPr>
          <w:rFonts w:hint="eastAsia" w:ascii="仿宋" w:hAnsi="仿宋" w:eastAsia="仿宋"/>
          <w:kern w:val="0"/>
          <w:szCs w:val="32"/>
        </w:rPr>
        <w:t>按照上级工作部署，围绕全市重点工作、重点领域，持续打造“知识产权+”特色服务；高标准运行知识产权保护中心，提高新一代信息技术、现代化农业等领域专利预审服务能力，提升知识产权纠纷调解、侵权判定咨询水平。（责任部门：市场监管分局；配合部门：区直机关各有关部门）</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25.探索建立纠纷多元化解模式。</w:t>
      </w:r>
      <w:r>
        <w:rPr>
          <w:rFonts w:hint="eastAsia" w:ascii="仿宋" w:hAnsi="仿宋" w:eastAsia="仿宋"/>
          <w:kern w:val="0"/>
          <w:szCs w:val="32"/>
        </w:rPr>
        <w:t>探索建立多元化解平台，不断完善诉讼与调解、仲裁有机衔接的“一站式”多元化解决机制，探索实施中立评估制度，推进涉企纠纷在线咨询、在线评估、在线分流、在线调解和在线确认工作，高效化解市场主体在金融、房屋租售等领域的纠纷。通过加强法律宣传和培训，提高市场主体的法律意识和风险防控能力。助力市场主体高效解决商事纠纷，维护市场秩序和公平正义。〔牵头部门：区法院；配合部门：区发改局（金融办）、市场监管分局、规自分局等各有关部门〕　　</w:t>
      </w:r>
    </w:p>
    <w:p>
      <w:pPr>
        <w:pStyle w:val="8"/>
        <w:spacing w:before="0" w:beforeAutospacing="0" w:after="0" w:afterAutospacing="0" w:line="576" w:lineRule="exact"/>
        <w:ind w:firstLine="643"/>
        <w:jc w:val="both"/>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（四）</w:t>
      </w:r>
      <w:r>
        <w:rPr>
          <w:rFonts w:ascii="楷体_GB2312" w:hAnsi="Times New Roman" w:eastAsia="楷体_GB2312" w:cs="Times New Roman"/>
          <w:b/>
          <w:sz w:val="32"/>
          <w:szCs w:val="32"/>
        </w:rPr>
        <w:t>打造保障有力的要素环境</w:t>
      </w:r>
    </w:p>
    <w:p>
      <w:pPr>
        <w:pStyle w:val="2"/>
        <w:spacing w:line="576" w:lineRule="exact"/>
        <w:ind w:firstLine="640"/>
        <w:jc w:val="both"/>
        <w:rPr>
          <w:rFonts w:ascii="仿宋" w:hAnsi="仿宋" w:eastAsia="仿宋"/>
          <w:kern w:val="0"/>
          <w:szCs w:val="32"/>
        </w:rPr>
      </w:pPr>
      <w:r>
        <w:rPr>
          <w:rFonts w:hint="eastAsia" w:ascii="仿宋" w:hAnsi="仿宋" w:eastAsia="仿宋"/>
          <w:kern w:val="0"/>
          <w:szCs w:val="32"/>
        </w:rPr>
        <w:t>着力解决</w:t>
      </w:r>
      <w:r>
        <w:rPr>
          <w:rFonts w:ascii="仿宋" w:hAnsi="仿宋" w:eastAsia="仿宋"/>
          <w:kern w:val="0"/>
          <w:szCs w:val="32"/>
        </w:rPr>
        <w:t>电力供应不稳定、企业用工信息不对称、融资渠道不畅通、金融支持实体经济能力不强、科技成果和数据价值转化率不高等问题。</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26.</w:t>
      </w:r>
      <w:r>
        <w:rPr>
          <w:rFonts w:ascii="仿宋" w:hAnsi="仿宋" w:eastAsia="仿宋"/>
          <w:b/>
          <w:bCs/>
          <w:kern w:val="0"/>
          <w:szCs w:val="32"/>
        </w:rPr>
        <w:t>创新企业用工“精准匹配”模式。</w:t>
      </w:r>
      <w:r>
        <w:rPr>
          <w:rFonts w:hint="eastAsia" w:ascii="仿宋" w:hAnsi="仿宋" w:eastAsia="仿宋"/>
          <w:kern w:val="0"/>
          <w:szCs w:val="32"/>
        </w:rPr>
        <w:t>健全“四上企业”等重点企业用工保障机制，建立用工数据库、求职人员资源库，定期了解重点企业用工需求，实时开展动态监测，为企业和求职者动态精准推送供需信息。</w:t>
      </w:r>
      <w:r>
        <w:rPr>
          <w:rFonts w:ascii="仿宋" w:hAnsi="仿宋" w:eastAsia="仿宋"/>
          <w:kern w:val="0"/>
          <w:szCs w:val="32"/>
        </w:rPr>
        <w:t>（责任部门：</w:t>
      </w:r>
      <w:r>
        <w:rPr>
          <w:rFonts w:hint="eastAsia" w:ascii="仿宋" w:hAnsi="仿宋" w:eastAsia="仿宋"/>
          <w:kern w:val="0"/>
          <w:szCs w:val="32"/>
        </w:rPr>
        <w:t>区</w:t>
      </w:r>
      <w:r>
        <w:rPr>
          <w:rFonts w:ascii="仿宋" w:hAnsi="仿宋" w:eastAsia="仿宋"/>
          <w:kern w:val="0"/>
          <w:szCs w:val="32"/>
        </w:rPr>
        <w:t>人社局）</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27.优化融资对接</w:t>
      </w:r>
      <w:r>
        <w:rPr>
          <w:rFonts w:ascii="仿宋" w:hAnsi="仿宋" w:eastAsia="仿宋"/>
          <w:b/>
          <w:bCs/>
          <w:kern w:val="0"/>
          <w:szCs w:val="32"/>
        </w:rPr>
        <w:t>服务模式。</w:t>
      </w:r>
      <w:r>
        <w:rPr>
          <w:rFonts w:hint="eastAsia" w:ascii="仿宋" w:hAnsi="仿宋" w:eastAsia="仿宋"/>
          <w:kern w:val="0"/>
          <w:szCs w:val="32"/>
        </w:rPr>
        <w:t>常态化开展投融资对接会，鼓励金融机构创新信贷产品，加大金融对中小微企业、重点项目等支持力度。搭建精细化、常态化银企合作平台，落实好国家以及省、市有关金融支持政策，强化金融服务实体经济能力，促进企业与金融机构开展多层次的战略合作，着力缓解企业融资难题。</w:t>
      </w:r>
      <w:r>
        <w:rPr>
          <w:rFonts w:ascii="仿宋" w:hAnsi="仿宋" w:eastAsia="仿宋"/>
          <w:kern w:val="0"/>
          <w:szCs w:val="32"/>
        </w:rPr>
        <w:t>〔</w:t>
      </w:r>
      <w:r>
        <w:rPr>
          <w:rFonts w:hint="eastAsia" w:ascii="仿宋" w:hAnsi="仿宋" w:eastAsia="仿宋"/>
          <w:kern w:val="0"/>
          <w:szCs w:val="32"/>
        </w:rPr>
        <w:t>牵头</w:t>
      </w:r>
      <w:r>
        <w:rPr>
          <w:rFonts w:ascii="仿宋" w:hAnsi="仿宋" w:eastAsia="仿宋"/>
          <w:kern w:val="0"/>
          <w:szCs w:val="32"/>
        </w:rPr>
        <w:t>部门：</w:t>
      </w:r>
      <w:r>
        <w:rPr>
          <w:rFonts w:hint="eastAsia" w:ascii="仿宋" w:hAnsi="仿宋" w:eastAsia="仿宋"/>
          <w:kern w:val="0"/>
          <w:szCs w:val="32"/>
        </w:rPr>
        <w:t>区发改局</w:t>
      </w:r>
      <w:r>
        <w:rPr>
          <w:rFonts w:ascii="仿宋" w:hAnsi="仿宋" w:eastAsia="仿宋"/>
          <w:kern w:val="0"/>
          <w:szCs w:val="32"/>
        </w:rPr>
        <w:t>（金融办）</w:t>
      </w:r>
      <w:r>
        <w:rPr>
          <w:rFonts w:hint="eastAsia" w:ascii="仿宋" w:hAnsi="仿宋" w:eastAsia="仿宋"/>
          <w:kern w:val="0"/>
          <w:szCs w:val="32"/>
        </w:rPr>
        <w:t>；配合部门：区工信局、区商务局、区科技局、区住建局、区财政局、区文旅局、区农业农村局、市场监管分局，以及各街（镇）、开发区</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28.加大扶持科技企业力度</w:t>
      </w:r>
      <w:r>
        <w:rPr>
          <w:rFonts w:ascii="仿宋" w:hAnsi="仿宋" w:eastAsia="仿宋"/>
          <w:b/>
          <w:bCs/>
          <w:kern w:val="0"/>
          <w:szCs w:val="32"/>
        </w:rPr>
        <w:t>。</w:t>
      </w:r>
      <w:r>
        <w:rPr>
          <w:rFonts w:hint="eastAsia" w:ascii="仿宋" w:hAnsi="仿宋" w:eastAsia="仿宋"/>
          <w:kern w:val="0"/>
          <w:szCs w:val="32"/>
        </w:rPr>
        <w:t>制定区级惠企政策科技扶持内容，将高新技术企业认定作为奖补政策，引导科技企业加大科研投入及科技产品研发；加大科技惠企政策宣传，积极组织兑付2023年科技惠企政策奖补，采用网上直达方式方便企业一次申领。（牵头部门：区科技局；配合部门：区发改局、区财政局）</w:t>
      </w:r>
    </w:p>
    <w:p>
      <w:pPr>
        <w:pStyle w:val="8"/>
        <w:spacing w:before="0" w:beforeAutospacing="0" w:after="0" w:afterAutospacing="0" w:line="576" w:lineRule="exact"/>
        <w:ind w:firstLine="643"/>
        <w:jc w:val="both"/>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（五）</w:t>
      </w:r>
      <w:r>
        <w:rPr>
          <w:rFonts w:ascii="楷体_GB2312" w:hAnsi="Times New Roman" w:eastAsia="楷体_GB2312" w:cs="Times New Roman"/>
          <w:b/>
          <w:sz w:val="32"/>
          <w:szCs w:val="32"/>
        </w:rPr>
        <w:t>打造包容和谐的人文环境</w:t>
      </w:r>
    </w:p>
    <w:p>
      <w:pPr>
        <w:pStyle w:val="2"/>
        <w:spacing w:line="576" w:lineRule="exact"/>
        <w:ind w:firstLine="640"/>
        <w:jc w:val="both"/>
        <w:rPr>
          <w:rFonts w:ascii="仿宋" w:hAnsi="仿宋" w:eastAsia="仿宋"/>
          <w:kern w:val="0"/>
          <w:szCs w:val="32"/>
        </w:rPr>
      </w:pPr>
      <w:r>
        <w:rPr>
          <w:rFonts w:ascii="仿宋" w:hAnsi="仿宋" w:eastAsia="仿宋"/>
          <w:kern w:val="0"/>
          <w:szCs w:val="32"/>
        </w:rPr>
        <w:t>围绕群众对提升城市品质的强烈需求，聚焦</w:t>
      </w:r>
      <w:r>
        <w:rPr>
          <w:rFonts w:hint="eastAsia" w:ascii="仿宋" w:hAnsi="仿宋" w:eastAsia="仿宋"/>
          <w:kern w:val="0"/>
          <w:szCs w:val="32"/>
        </w:rPr>
        <w:t>服务、</w:t>
      </w:r>
      <w:r>
        <w:rPr>
          <w:rFonts w:ascii="仿宋" w:hAnsi="仿宋" w:eastAsia="仿宋"/>
          <w:kern w:val="0"/>
          <w:szCs w:val="32"/>
        </w:rPr>
        <w:t>绿化、医疗、</w:t>
      </w:r>
      <w:r>
        <w:rPr>
          <w:rFonts w:hint="eastAsia" w:ascii="仿宋" w:hAnsi="仿宋" w:eastAsia="仿宋"/>
          <w:kern w:val="0"/>
          <w:szCs w:val="32"/>
        </w:rPr>
        <w:t>养老、</w:t>
      </w:r>
      <w:r>
        <w:rPr>
          <w:rFonts w:ascii="仿宋" w:hAnsi="仿宋" w:eastAsia="仿宋"/>
          <w:kern w:val="0"/>
          <w:szCs w:val="32"/>
        </w:rPr>
        <w:t>教育、文旅、交通等领域公共服务体系不完善、公共资源分配不均衡等问题。</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29.积极推进项目实施。</w:t>
      </w:r>
      <w:r>
        <w:rPr>
          <w:rFonts w:hint="eastAsia" w:ascii="仿宋" w:hAnsi="仿宋" w:eastAsia="仿宋"/>
          <w:kern w:val="0"/>
          <w:szCs w:val="32"/>
        </w:rPr>
        <w:t>提前着手、确保项目能开尽开、早开快开；保障项目服务，以《朝阳区“项目建设攻坚年”总体方案》为抓手，进一步加强服务和要素保障，为项目顺利推进提供坚实保障。</w:t>
      </w:r>
      <w:r>
        <w:rPr>
          <w:rFonts w:ascii="仿宋" w:hAnsi="仿宋" w:eastAsia="仿宋"/>
          <w:kern w:val="0"/>
          <w:szCs w:val="32"/>
        </w:rPr>
        <w:t>〔</w:t>
      </w:r>
      <w:r>
        <w:rPr>
          <w:rFonts w:hint="eastAsia" w:ascii="仿宋" w:hAnsi="仿宋" w:eastAsia="仿宋"/>
          <w:kern w:val="0"/>
          <w:szCs w:val="32"/>
        </w:rPr>
        <w:t>牵头部门：区发改局；配合部门：区直机关各部门，各街（镇）、开发区</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30.</w:t>
      </w:r>
      <w:r>
        <w:rPr>
          <w:rFonts w:ascii="仿宋" w:hAnsi="仿宋" w:eastAsia="仿宋"/>
          <w:b/>
          <w:bCs/>
          <w:kern w:val="0"/>
          <w:szCs w:val="32"/>
        </w:rPr>
        <w:t>深化“万人驻（助）万企”行动。</w:t>
      </w:r>
      <w:r>
        <w:rPr>
          <w:rFonts w:hint="eastAsia" w:ascii="仿宋" w:hAnsi="仿宋" w:eastAsia="仿宋"/>
          <w:kern w:val="0"/>
          <w:szCs w:val="32"/>
        </w:rPr>
        <w:t>坚持区级领导、部门、街镇及开发区为实施主体的包保服务机制，持续优化驻企服务方式，建立驻（助）企服务问题化解机制、综合协调机制、考评监督机制3项工作机制；做好政策直达与解读工作；强化工作纪律，与企业保持亲清政商关系，严守工作红线底线；强化考核考评，确保包保干部有效落实工作职责，确保企业问题解决精准、务实、高效。</w:t>
      </w:r>
      <w:r>
        <w:rPr>
          <w:rFonts w:ascii="仿宋" w:hAnsi="仿宋" w:eastAsia="仿宋"/>
          <w:kern w:val="0"/>
          <w:szCs w:val="32"/>
        </w:rPr>
        <w:t>〔牵头部门：</w:t>
      </w:r>
      <w:r>
        <w:rPr>
          <w:rFonts w:hint="eastAsia" w:ascii="仿宋" w:hAnsi="仿宋" w:eastAsia="仿宋"/>
          <w:kern w:val="0"/>
          <w:szCs w:val="32"/>
        </w:rPr>
        <w:t>区</w:t>
      </w:r>
      <w:r>
        <w:rPr>
          <w:rFonts w:ascii="仿宋" w:hAnsi="仿宋" w:eastAsia="仿宋"/>
          <w:kern w:val="0"/>
          <w:szCs w:val="32"/>
        </w:rPr>
        <w:t>委组织部、</w:t>
      </w:r>
      <w:r>
        <w:rPr>
          <w:rFonts w:hint="eastAsia" w:ascii="仿宋" w:hAnsi="仿宋" w:eastAsia="仿宋"/>
          <w:kern w:val="0"/>
          <w:szCs w:val="32"/>
        </w:rPr>
        <w:t>区</w:t>
      </w:r>
      <w:r>
        <w:rPr>
          <w:rFonts w:ascii="仿宋" w:hAnsi="仿宋" w:eastAsia="仿宋"/>
          <w:kern w:val="0"/>
          <w:szCs w:val="32"/>
        </w:rPr>
        <w:t>工信局；配合部门：</w:t>
      </w:r>
      <w:r>
        <w:rPr>
          <w:rFonts w:hint="eastAsia" w:ascii="仿宋" w:hAnsi="仿宋" w:eastAsia="仿宋"/>
          <w:kern w:val="0"/>
          <w:szCs w:val="32"/>
        </w:rPr>
        <w:t>区</w:t>
      </w:r>
      <w:r>
        <w:rPr>
          <w:rFonts w:ascii="仿宋" w:hAnsi="仿宋" w:eastAsia="仿宋"/>
          <w:kern w:val="0"/>
          <w:szCs w:val="32"/>
        </w:rPr>
        <w:t>发改</w:t>
      </w:r>
      <w:r>
        <w:rPr>
          <w:rFonts w:hint="eastAsia" w:ascii="仿宋" w:hAnsi="仿宋" w:eastAsia="仿宋"/>
          <w:kern w:val="0"/>
          <w:szCs w:val="32"/>
        </w:rPr>
        <w:t>局</w:t>
      </w:r>
      <w:r>
        <w:rPr>
          <w:rFonts w:ascii="仿宋" w:hAnsi="仿宋" w:eastAsia="仿宋"/>
          <w:kern w:val="0"/>
          <w:szCs w:val="32"/>
        </w:rPr>
        <w:t>、</w:t>
      </w:r>
      <w:r>
        <w:rPr>
          <w:rFonts w:hint="eastAsia" w:ascii="仿宋" w:hAnsi="仿宋" w:eastAsia="仿宋"/>
          <w:kern w:val="0"/>
          <w:szCs w:val="32"/>
        </w:rPr>
        <w:t>区住</w:t>
      </w:r>
      <w:r>
        <w:rPr>
          <w:rFonts w:ascii="仿宋" w:hAnsi="仿宋" w:eastAsia="仿宋"/>
          <w:kern w:val="0"/>
          <w:szCs w:val="32"/>
        </w:rPr>
        <w:t>建</w:t>
      </w:r>
      <w:r>
        <w:rPr>
          <w:rFonts w:hint="eastAsia" w:ascii="仿宋" w:hAnsi="仿宋" w:eastAsia="仿宋"/>
          <w:kern w:val="0"/>
          <w:szCs w:val="32"/>
        </w:rPr>
        <w:t>局</w:t>
      </w:r>
      <w:r>
        <w:rPr>
          <w:rFonts w:ascii="仿宋" w:hAnsi="仿宋" w:eastAsia="仿宋"/>
          <w:kern w:val="0"/>
          <w:szCs w:val="32"/>
        </w:rPr>
        <w:t>、</w:t>
      </w:r>
      <w:r>
        <w:rPr>
          <w:rFonts w:hint="eastAsia" w:ascii="仿宋" w:hAnsi="仿宋" w:eastAsia="仿宋"/>
          <w:kern w:val="0"/>
          <w:szCs w:val="32"/>
        </w:rPr>
        <w:t>区</w:t>
      </w:r>
      <w:r>
        <w:rPr>
          <w:rFonts w:ascii="仿宋" w:hAnsi="仿宋" w:eastAsia="仿宋"/>
          <w:kern w:val="0"/>
          <w:szCs w:val="32"/>
        </w:rPr>
        <w:t>商务局</w:t>
      </w:r>
      <w:r>
        <w:rPr>
          <w:rFonts w:hint="eastAsia" w:ascii="仿宋" w:hAnsi="仿宋" w:eastAsia="仿宋"/>
          <w:kern w:val="0"/>
          <w:szCs w:val="32"/>
        </w:rPr>
        <w:t>、区财政局，各街（镇）、开发区</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31.</w:t>
      </w:r>
      <w:r>
        <w:rPr>
          <w:rFonts w:ascii="仿宋" w:hAnsi="仿宋" w:eastAsia="仿宋"/>
          <w:b/>
          <w:bCs/>
          <w:kern w:val="0"/>
          <w:szCs w:val="32"/>
        </w:rPr>
        <w:t>高标准打好蓝天、碧水、净土保卫战。</w:t>
      </w:r>
      <w:r>
        <w:rPr>
          <w:rFonts w:hint="eastAsia" w:ascii="仿宋" w:hAnsi="仿宋" w:eastAsia="仿宋"/>
          <w:kern w:val="0"/>
          <w:szCs w:val="32"/>
        </w:rPr>
        <w:t>开展伊通河、新凯河流域“查、测、溯”工作，对域内所有干、支流出入境断面、污水处理厂开展监测，发现污染问题及时上游溯源，形成问题清单，点对点督办责任单位，适时“四不两直”现场复核整改成果；有序科学推进河流生态综合治理，确保河流水质稳定向好。</w:t>
      </w:r>
      <w:r>
        <w:rPr>
          <w:rFonts w:ascii="仿宋" w:hAnsi="仿宋" w:eastAsia="仿宋"/>
          <w:kern w:val="0"/>
          <w:szCs w:val="32"/>
        </w:rPr>
        <w:t>〔</w:t>
      </w:r>
      <w:r>
        <w:rPr>
          <w:rFonts w:hint="eastAsia" w:ascii="仿宋" w:hAnsi="仿宋" w:eastAsia="仿宋"/>
          <w:kern w:val="0"/>
          <w:szCs w:val="32"/>
        </w:rPr>
        <w:t>牵头</w:t>
      </w:r>
      <w:r>
        <w:rPr>
          <w:rFonts w:ascii="仿宋" w:hAnsi="仿宋" w:eastAsia="仿宋"/>
          <w:kern w:val="0"/>
          <w:szCs w:val="32"/>
        </w:rPr>
        <w:t>部门：生态环境</w:t>
      </w:r>
      <w:r>
        <w:rPr>
          <w:rFonts w:hint="eastAsia" w:ascii="仿宋" w:hAnsi="仿宋" w:eastAsia="仿宋"/>
          <w:kern w:val="0"/>
          <w:szCs w:val="32"/>
        </w:rPr>
        <w:t>分</w:t>
      </w:r>
      <w:r>
        <w:rPr>
          <w:rFonts w:ascii="仿宋" w:hAnsi="仿宋" w:eastAsia="仿宋"/>
          <w:kern w:val="0"/>
          <w:szCs w:val="32"/>
        </w:rPr>
        <w:t>局、</w:t>
      </w:r>
      <w:r>
        <w:rPr>
          <w:rFonts w:hint="eastAsia" w:ascii="仿宋" w:hAnsi="仿宋" w:eastAsia="仿宋"/>
          <w:kern w:val="0"/>
          <w:szCs w:val="32"/>
        </w:rPr>
        <w:t>区住</w:t>
      </w:r>
      <w:r>
        <w:rPr>
          <w:rFonts w:ascii="仿宋" w:hAnsi="仿宋" w:eastAsia="仿宋"/>
          <w:kern w:val="0"/>
          <w:szCs w:val="32"/>
        </w:rPr>
        <w:t>建</w:t>
      </w:r>
      <w:r>
        <w:rPr>
          <w:rFonts w:hint="eastAsia" w:ascii="仿宋" w:hAnsi="仿宋" w:eastAsia="仿宋"/>
          <w:kern w:val="0"/>
          <w:szCs w:val="32"/>
        </w:rPr>
        <w:t>局</w:t>
      </w:r>
      <w:r>
        <w:rPr>
          <w:rFonts w:ascii="仿宋" w:hAnsi="仿宋" w:eastAsia="仿宋"/>
          <w:kern w:val="0"/>
          <w:szCs w:val="32"/>
        </w:rPr>
        <w:t>、</w:t>
      </w:r>
      <w:r>
        <w:rPr>
          <w:rFonts w:hint="eastAsia" w:ascii="仿宋" w:hAnsi="仿宋" w:eastAsia="仿宋"/>
          <w:kern w:val="0"/>
          <w:szCs w:val="32"/>
        </w:rPr>
        <w:t>区</w:t>
      </w:r>
      <w:r>
        <w:rPr>
          <w:rFonts w:ascii="仿宋" w:hAnsi="仿宋" w:eastAsia="仿宋"/>
          <w:kern w:val="0"/>
          <w:szCs w:val="32"/>
        </w:rPr>
        <w:t>农业农村局</w:t>
      </w:r>
      <w:r>
        <w:rPr>
          <w:rFonts w:hint="eastAsia" w:ascii="仿宋" w:hAnsi="仿宋" w:eastAsia="仿宋"/>
          <w:kern w:val="0"/>
          <w:szCs w:val="32"/>
        </w:rPr>
        <w:t>；配合部门：各街（镇）、开发区</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32.</w:t>
      </w:r>
      <w:r>
        <w:rPr>
          <w:rFonts w:ascii="仿宋" w:hAnsi="仿宋" w:eastAsia="仿宋"/>
          <w:b/>
          <w:bCs/>
          <w:kern w:val="0"/>
          <w:szCs w:val="32"/>
        </w:rPr>
        <w:t>着力提升城市绿化环境。</w:t>
      </w:r>
      <w:r>
        <w:rPr>
          <w:rFonts w:hint="eastAsia" w:ascii="仿宋" w:hAnsi="仿宋" w:eastAsia="仿宋"/>
          <w:kern w:val="0"/>
          <w:szCs w:val="32"/>
        </w:rPr>
        <w:t>依托朝阳现有绿化基础，锦上添花，增添口袋公园，打造景观功能完善、绿化风格舒朗、大气的多彩城区，计划长春大学门前和长春理工大学门前新建口袋公园2处，推动全区绿化美化水平进一步提升；加强城区绿化规范管理，及时修剪、清除隐患树木，确保人身安全。</w:t>
      </w:r>
      <w:r>
        <w:rPr>
          <w:rFonts w:ascii="仿宋" w:hAnsi="仿宋" w:eastAsia="仿宋"/>
          <w:kern w:val="0"/>
          <w:szCs w:val="32"/>
        </w:rPr>
        <w:t>（牵头部门：</w:t>
      </w:r>
      <w:r>
        <w:rPr>
          <w:rFonts w:hint="eastAsia" w:ascii="仿宋" w:hAnsi="仿宋" w:eastAsia="仿宋"/>
          <w:kern w:val="0"/>
          <w:szCs w:val="32"/>
        </w:rPr>
        <w:t>区住建</w:t>
      </w:r>
      <w:r>
        <w:rPr>
          <w:rFonts w:ascii="仿宋" w:hAnsi="仿宋" w:eastAsia="仿宋"/>
          <w:kern w:val="0"/>
          <w:szCs w:val="32"/>
        </w:rPr>
        <w:t>局；配合部门：</w:t>
      </w:r>
      <w:r>
        <w:rPr>
          <w:rFonts w:hint="eastAsia" w:ascii="仿宋" w:hAnsi="仿宋" w:eastAsia="仿宋"/>
          <w:kern w:val="0"/>
          <w:szCs w:val="32"/>
        </w:rPr>
        <w:t>区园林管理中心</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33.提高老年医疗服务水平</w:t>
      </w:r>
      <w:r>
        <w:rPr>
          <w:rFonts w:ascii="仿宋" w:hAnsi="仿宋" w:eastAsia="仿宋"/>
          <w:b/>
          <w:bCs/>
          <w:kern w:val="0"/>
          <w:szCs w:val="32"/>
        </w:rPr>
        <w:t>。</w:t>
      </w:r>
      <w:r>
        <w:rPr>
          <w:rFonts w:hint="eastAsia" w:ascii="仿宋" w:hAnsi="仿宋" w:eastAsia="仿宋"/>
          <w:kern w:val="0"/>
          <w:szCs w:val="32"/>
        </w:rPr>
        <w:t>推进朝阳区人民医院“德润朝医，健康万家”内涵式品牌建设，以发展专科特色为重点，以“医、康、养、舒”为主线，探索一体化、全方位、全过程、全链条式高质量发展道路；扩展重点科室合作建设，为居民提供更多高端医疗资源供给。</w:t>
      </w:r>
      <w:r>
        <w:rPr>
          <w:rFonts w:ascii="仿宋" w:hAnsi="仿宋" w:eastAsia="仿宋"/>
          <w:kern w:val="0"/>
          <w:szCs w:val="32"/>
        </w:rPr>
        <w:t>（责任部门：</w:t>
      </w:r>
      <w:r>
        <w:rPr>
          <w:rFonts w:hint="eastAsia" w:ascii="仿宋" w:hAnsi="仿宋" w:eastAsia="仿宋"/>
          <w:kern w:val="0"/>
          <w:szCs w:val="32"/>
        </w:rPr>
        <w:t>区</w:t>
      </w:r>
      <w:r>
        <w:rPr>
          <w:rFonts w:ascii="仿宋" w:hAnsi="仿宋" w:eastAsia="仿宋"/>
          <w:kern w:val="0"/>
          <w:szCs w:val="32"/>
        </w:rPr>
        <w:t>卫健</w:t>
      </w:r>
      <w:r>
        <w:rPr>
          <w:rFonts w:hint="eastAsia" w:ascii="仿宋" w:hAnsi="仿宋" w:eastAsia="仿宋"/>
          <w:kern w:val="0"/>
          <w:szCs w:val="32"/>
        </w:rPr>
        <w:t>局</w:t>
      </w:r>
      <w:r>
        <w:rPr>
          <w:rFonts w:ascii="仿宋" w:hAnsi="仿宋" w:eastAsia="仿宋"/>
          <w:kern w:val="0"/>
          <w:szCs w:val="32"/>
        </w:rPr>
        <w:t>）</w:t>
      </w:r>
    </w:p>
    <w:p>
      <w:pPr>
        <w:pStyle w:val="2"/>
        <w:spacing w:line="576" w:lineRule="exact"/>
        <w:ind w:firstLine="643"/>
        <w:jc w:val="both"/>
        <w:rPr>
          <w:rFonts w:ascii="仿宋" w:hAnsi="仿宋" w:eastAsia="仿宋"/>
          <w:kern w:val="0"/>
          <w:szCs w:val="32"/>
        </w:rPr>
      </w:pPr>
      <w:r>
        <w:rPr>
          <w:rFonts w:hint="eastAsia" w:ascii="仿宋" w:hAnsi="仿宋" w:eastAsia="仿宋"/>
          <w:b/>
          <w:bCs/>
          <w:kern w:val="0"/>
          <w:szCs w:val="32"/>
        </w:rPr>
        <w:t>34.</w:t>
      </w:r>
      <w:r>
        <w:rPr>
          <w:rFonts w:ascii="仿宋" w:hAnsi="仿宋" w:eastAsia="仿宋"/>
          <w:b/>
          <w:bCs/>
          <w:kern w:val="0"/>
          <w:szCs w:val="32"/>
        </w:rPr>
        <w:t>优化优质教育资源配置。</w:t>
      </w:r>
      <w:r>
        <w:rPr>
          <w:rFonts w:hint="eastAsia" w:ascii="仿宋" w:hAnsi="仿宋" w:eastAsia="仿宋"/>
          <w:kern w:val="0"/>
          <w:szCs w:val="32"/>
        </w:rPr>
        <w:t>通过名校集团化办学、老牌学校振兴、城乡一体化等措施，扩大优质教育资源覆盖面，促进基础教育优质均衡发展。根据区域产业经济发展调整专业设置，通过鼓励师生参加各级各类大赛等方法，提高师生的实践技能水平，为社会培养高素质的技术技能型人才，助力长春经济发展；完成富锋清华园三期小区配套幼儿园（长春市人民政府机关第一幼儿园）办园审批，增加公办学位270个；将保利和玺小区配套幼儿园建设项目纳入2024年民生实事工程，计划增加公办学位180个。</w:t>
      </w:r>
      <w:r>
        <w:rPr>
          <w:rFonts w:ascii="仿宋" w:hAnsi="仿宋" w:eastAsia="仿宋"/>
          <w:kern w:val="0"/>
          <w:szCs w:val="32"/>
        </w:rPr>
        <w:t>（责任部门：</w:t>
      </w:r>
      <w:r>
        <w:rPr>
          <w:rFonts w:hint="eastAsia" w:ascii="仿宋" w:hAnsi="仿宋" w:eastAsia="仿宋"/>
          <w:kern w:val="0"/>
          <w:szCs w:val="32"/>
        </w:rPr>
        <w:t>区</w:t>
      </w:r>
      <w:r>
        <w:rPr>
          <w:rFonts w:ascii="仿宋" w:hAnsi="仿宋" w:eastAsia="仿宋"/>
          <w:kern w:val="0"/>
          <w:szCs w:val="32"/>
        </w:rPr>
        <w:t>教育局）</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35.推进文旅产业发展</w:t>
      </w:r>
      <w:r>
        <w:rPr>
          <w:rFonts w:ascii="仿宋" w:hAnsi="仿宋" w:eastAsia="仿宋"/>
          <w:b/>
          <w:bCs/>
          <w:kern w:val="0"/>
          <w:szCs w:val="32"/>
        </w:rPr>
        <w:t>。</w:t>
      </w:r>
      <w:r>
        <w:rPr>
          <w:rFonts w:hint="eastAsia" w:ascii="仿宋" w:hAnsi="仿宋" w:eastAsia="仿宋"/>
          <w:kern w:val="0"/>
          <w:szCs w:val="32"/>
        </w:rPr>
        <w:t>创新融合发展思路，加强产业工作谋划，研究符合朝阳区旅游发展方向和发展空间的落实举措，加快建设冰雪、避暑双产业；着力打造红旗街国家级旅游休闲街区，这有山、莲花岛两个国家级夜间文化和旅游消费集聚区；加大旅游推广，打响朝阳特色品牌。深度挖掘我区文旅产业资源，着力在吃住行游购娱上深挖细撰，调动企业、商户和消费者积极性，促进文旅消费。</w:t>
      </w:r>
      <w:r>
        <w:rPr>
          <w:rFonts w:ascii="仿宋" w:hAnsi="仿宋" w:eastAsia="仿宋"/>
          <w:kern w:val="0"/>
          <w:szCs w:val="32"/>
        </w:rPr>
        <w:t>（责任部门：</w:t>
      </w:r>
      <w:r>
        <w:rPr>
          <w:rFonts w:hint="eastAsia" w:ascii="仿宋" w:hAnsi="仿宋" w:eastAsia="仿宋"/>
          <w:kern w:val="0"/>
          <w:szCs w:val="32"/>
        </w:rPr>
        <w:t>区</w:t>
      </w:r>
      <w:r>
        <w:rPr>
          <w:rFonts w:ascii="仿宋" w:hAnsi="仿宋" w:eastAsia="仿宋"/>
          <w:kern w:val="0"/>
          <w:szCs w:val="32"/>
        </w:rPr>
        <w:t>文旅局）</w:t>
      </w:r>
    </w:p>
    <w:p>
      <w:pPr>
        <w:pStyle w:val="2"/>
        <w:spacing w:line="576" w:lineRule="exact"/>
        <w:ind w:firstLine="643"/>
        <w:jc w:val="both"/>
        <w:rPr>
          <w:rFonts w:hint="eastAsia" w:ascii="仿宋" w:hAnsi="仿宋" w:eastAsia="仿宋"/>
          <w:kern w:val="0"/>
          <w:szCs w:val="32"/>
        </w:rPr>
      </w:pPr>
      <w:r>
        <w:rPr>
          <w:rFonts w:hint="eastAsia" w:ascii="仿宋" w:hAnsi="仿宋" w:eastAsia="仿宋"/>
          <w:b/>
          <w:bCs/>
          <w:kern w:val="0"/>
          <w:szCs w:val="32"/>
        </w:rPr>
        <w:t>36.提升道路交通通行能力。</w:t>
      </w:r>
      <w:r>
        <w:rPr>
          <w:rFonts w:hint="eastAsia" w:ascii="仿宋" w:hAnsi="仿宋" w:eastAsia="仿宋"/>
          <w:kern w:val="0"/>
          <w:szCs w:val="32"/>
        </w:rPr>
        <w:t>带动道路基础设施优化升级，畅通道路微循环，助力朝阳区产业经济高质量发展，建设宜居宜业宜游首善之区，配合市建委打通辖区内湖光路（富强街－南湖新村中街）、前进西街（繁荣北路-湖光路）、繁荣北路（前进西街－桦甸街）3条断头路、卡脖路。</w:t>
      </w:r>
      <w:r>
        <w:rPr>
          <w:rFonts w:ascii="仿宋" w:hAnsi="仿宋" w:eastAsia="仿宋"/>
          <w:kern w:val="0"/>
          <w:szCs w:val="32"/>
        </w:rPr>
        <w:t>（</w:t>
      </w:r>
      <w:r>
        <w:rPr>
          <w:rFonts w:hint="eastAsia" w:ascii="仿宋" w:hAnsi="仿宋" w:eastAsia="仿宋"/>
          <w:kern w:val="0"/>
          <w:szCs w:val="32"/>
        </w:rPr>
        <w:t>牵头</w:t>
      </w:r>
      <w:r>
        <w:rPr>
          <w:rFonts w:ascii="仿宋" w:hAnsi="仿宋" w:eastAsia="仿宋"/>
          <w:kern w:val="0"/>
          <w:szCs w:val="32"/>
        </w:rPr>
        <w:t>部门：</w:t>
      </w:r>
      <w:r>
        <w:rPr>
          <w:rFonts w:hint="eastAsia" w:ascii="仿宋" w:hAnsi="仿宋" w:eastAsia="仿宋"/>
          <w:kern w:val="0"/>
          <w:szCs w:val="32"/>
        </w:rPr>
        <w:t>区住建</w:t>
      </w:r>
      <w:r>
        <w:rPr>
          <w:rFonts w:ascii="仿宋" w:hAnsi="仿宋" w:eastAsia="仿宋"/>
          <w:kern w:val="0"/>
          <w:szCs w:val="32"/>
        </w:rPr>
        <w:t>局</w:t>
      </w:r>
      <w:r>
        <w:rPr>
          <w:rFonts w:hint="eastAsia" w:ascii="仿宋" w:hAnsi="仿宋" w:eastAsia="仿宋"/>
          <w:kern w:val="0"/>
          <w:szCs w:val="32"/>
        </w:rPr>
        <w:t>；配合部门：各街道办事处</w:t>
      </w:r>
      <w:r>
        <w:rPr>
          <w:rFonts w:ascii="仿宋" w:hAnsi="仿宋" w:eastAsia="仿宋"/>
          <w:kern w:val="0"/>
          <w:szCs w:val="32"/>
        </w:rPr>
        <w:t>）</w:t>
      </w:r>
    </w:p>
    <w:p>
      <w:pPr>
        <w:pStyle w:val="4"/>
        <w:spacing w:line="576" w:lineRule="exact"/>
        <w:ind w:firstLine="640"/>
        <w:rPr>
          <w:rFonts w:ascii="黑体" w:hAnsi="黑体" w:eastAsia="黑体" w:cs="黑体"/>
          <w:sz w:val="32"/>
          <w:szCs w:val="32"/>
        </w:rPr>
      </w:pPr>
      <w:r>
        <w:rPr>
          <w:rFonts w:hint="eastAsia" w:ascii="黑体" w:hAnsi="黑体" w:eastAsia="黑体" w:cs="黑体"/>
          <w:sz w:val="32"/>
          <w:szCs w:val="32"/>
        </w:rPr>
        <w:t>三、保障措施</w:t>
      </w:r>
    </w:p>
    <w:p>
      <w:pPr>
        <w:pStyle w:val="4"/>
        <w:spacing w:line="576" w:lineRule="exact"/>
        <w:ind w:firstLine="643"/>
        <w:rPr>
          <w:rFonts w:hint="eastAsia" w:ascii="仿宋" w:hAnsi="仿宋" w:eastAsia="仿宋"/>
          <w:kern w:val="0"/>
          <w:sz w:val="32"/>
          <w:szCs w:val="32"/>
        </w:rPr>
      </w:pPr>
      <w:r>
        <w:rPr>
          <w:rFonts w:hint="eastAsia" w:ascii="楷体_GB2312" w:hAnsi="Times New Roman" w:eastAsia="楷体_GB2312"/>
          <w:b/>
          <w:sz w:val="32"/>
          <w:szCs w:val="32"/>
        </w:rPr>
        <w:t>（一）</w:t>
      </w:r>
      <w:r>
        <w:rPr>
          <w:rFonts w:ascii="楷体_GB2312" w:hAnsi="Times New Roman" w:eastAsia="楷体_GB2312"/>
          <w:b/>
          <w:sz w:val="32"/>
          <w:szCs w:val="32"/>
        </w:rPr>
        <w:t>强化组织领导。</w:t>
      </w:r>
      <w:r>
        <w:rPr>
          <w:rFonts w:hint="eastAsia" w:ascii="仿宋" w:hAnsi="仿宋" w:eastAsia="仿宋"/>
          <w:kern w:val="0"/>
          <w:sz w:val="32"/>
          <w:szCs w:val="32"/>
        </w:rPr>
        <w:t>落实好“三级书记抓营商环境”工作机制，强化工作协同，做到步调一致。</w:t>
      </w:r>
      <w:r>
        <w:rPr>
          <w:rFonts w:ascii="仿宋" w:hAnsi="仿宋" w:eastAsia="仿宋"/>
          <w:kern w:val="0"/>
          <w:sz w:val="32"/>
          <w:szCs w:val="32"/>
        </w:rPr>
        <w:t>进一步夯实“一把手”统筹推进营商环境建设工作机制，严格执行营商环境重大事项请示报告制度，挂牌督办严重破坏营商环境案件，推动营商环境持续优化。</w:t>
      </w:r>
    </w:p>
    <w:p>
      <w:pPr>
        <w:pStyle w:val="4"/>
        <w:spacing w:line="576" w:lineRule="exact"/>
        <w:ind w:firstLine="643"/>
        <w:rPr>
          <w:rFonts w:hint="eastAsia" w:ascii="仿宋" w:hAnsi="仿宋" w:eastAsia="仿宋"/>
          <w:kern w:val="0"/>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）狠抓整治整改。</w:t>
      </w:r>
      <w:r>
        <w:rPr>
          <w:rFonts w:ascii="仿宋" w:hAnsi="仿宋" w:eastAsia="仿宋"/>
          <w:kern w:val="0"/>
          <w:sz w:val="32"/>
          <w:szCs w:val="32"/>
        </w:rPr>
        <w:t>围绕营商环境建设重点领域重点问题持续开展集中整治，通过明察暗访发现并督促相关责任主体和行管部门靶向施治，源头治理一批监管顽疾和服务乱象，举一反三进行全方位、多角度、深层次自查整改，推动形成问题及时发现、有效解决、长效长治的工作闭环。</w:t>
      </w:r>
    </w:p>
    <w:p>
      <w:pPr>
        <w:spacing w:line="576" w:lineRule="exact"/>
        <w:ind w:left="0" w:leftChars="0" w:firstLine="0" w:firstLineChars="0"/>
        <w:jc w:val="both"/>
        <w:rPr>
          <w:rFonts w:hint="eastAsia" w:ascii="仿宋" w:hAnsi="仿宋" w:eastAsia="仿宋" w:cs="仿宋"/>
          <w:sz w:val="32"/>
          <w:szCs w:val="32"/>
        </w:rPr>
      </w:pPr>
      <w:r>
        <w:rPr>
          <w:rFonts w:hint="eastAsia" w:ascii="楷体_GB2312" w:hAnsi="Times New Roman" w:eastAsia="楷体_GB2312"/>
          <w:b/>
          <w:sz w:val="32"/>
          <w:szCs w:val="32"/>
        </w:rPr>
        <w:t>（三）加强宣传引导。</w:t>
      </w:r>
      <w:r>
        <w:rPr>
          <w:rFonts w:ascii="仿宋" w:hAnsi="仿宋" w:eastAsia="仿宋"/>
          <w:kern w:val="0"/>
          <w:sz w:val="32"/>
          <w:szCs w:val="32"/>
        </w:rPr>
        <w:t>充分利用政府网站和报纸、广播、电视以及各类新媒体，积极开展营商环境优化重点行动措施的宣传、解读，及时总结推广创新经验，扩大覆盖面和知晓度，不断增强经营主体的满意度和获得感。</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924560" cy="445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4560" cy="445770"/>
                      </a:xfrm>
                      <a:prstGeom prst="rect">
                        <a:avLst/>
                      </a:prstGeom>
                      <a:noFill/>
                      <a:ln>
                        <a:noFill/>
                      </a:ln>
                    </wps:spPr>
                    <wps:txbx>
                      <w:txbxContent>
                        <w:p>
                          <w:pPr>
                            <w:pStyle w:val="6"/>
                            <w:ind w:firstLine="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wrap="square" lIns="0" tIns="0" rIns="0" bIns="0" upright="0"/>
                  </wps:wsp>
                </a:graphicData>
              </a:graphic>
            </wp:anchor>
          </w:drawing>
        </mc:Choice>
        <mc:Fallback>
          <w:pict>
            <v:shape id="_x0000_s1026" o:spid="_x0000_s1026" o:spt="202" type="#_x0000_t202" style="position:absolute;left:0pt;margin-top:7.5pt;height:35.1pt;width:72.8pt;mso-position-horizontal:outside;mso-position-horizontal-relative:margin;z-index:251659264;mso-width-relative:page;mso-height-relative:page;" filled="f" stroked="f" coordsize="21600,21600" o:gfxdata="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uqxR1QAAAAYBAAAPAAAAAAAAAAEAIAAAACIAAABkcnMvZG93bnJldi54&#10;bWxQSwECFAAUAAAACACHTuJAXTnioMQBAAB/AwAADgAAAAAAAAABACAAAAAkAQAAZHJzL2Uyb0Rv&#10;Yy54bWxQSwUGAAAAAAYABgBZAQAAWgUAAAAA&#10;">
              <v:fill on="f" focussize="0,0"/>
              <v:stroke on="f"/>
              <v:imagedata o:title=""/>
              <o:lock v:ext="edit" aspectratio="f"/>
              <v:textbox inset="0mm,0mm,0mm,0mm">
                <w:txbxContent>
                  <w:p>
                    <w:pPr>
                      <w:pStyle w:val="6"/>
                      <w:ind w:firstLine="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TU4MzBkMWQxZmViOTdiNmM5NDVhODk5NzcxYjEifQ=="/>
    <w:docVar w:name="KSO_WPS_MARK_KEY" w:val="7811930f-d78f-40d5-ab2f-333baaf42410"/>
  </w:docVars>
  <w:rsids>
    <w:rsidRoot w:val="00172A27"/>
    <w:rsid w:val="00010188"/>
    <w:rsid w:val="00013C3F"/>
    <w:rsid w:val="00140563"/>
    <w:rsid w:val="00140CC9"/>
    <w:rsid w:val="001E7CB3"/>
    <w:rsid w:val="0021034F"/>
    <w:rsid w:val="00213D4C"/>
    <w:rsid w:val="00316F09"/>
    <w:rsid w:val="00341884"/>
    <w:rsid w:val="0043633D"/>
    <w:rsid w:val="00481EA0"/>
    <w:rsid w:val="004F5FF5"/>
    <w:rsid w:val="00510C3B"/>
    <w:rsid w:val="00547623"/>
    <w:rsid w:val="005B4B3B"/>
    <w:rsid w:val="005C0069"/>
    <w:rsid w:val="006D6A55"/>
    <w:rsid w:val="007369C3"/>
    <w:rsid w:val="00794604"/>
    <w:rsid w:val="00831547"/>
    <w:rsid w:val="00866D90"/>
    <w:rsid w:val="00885BFC"/>
    <w:rsid w:val="00904072"/>
    <w:rsid w:val="00955650"/>
    <w:rsid w:val="009C7AA5"/>
    <w:rsid w:val="00A00A9F"/>
    <w:rsid w:val="00A73B89"/>
    <w:rsid w:val="00AB0CA5"/>
    <w:rsid w:val="00B07D73"/>
    <w:rsid w:val="00C62A3D"/>
    <w:rsid w:val="00D365CD"/>
    <w:rsid w:val="00EA75F8"/>
    <w:rsid w:val="00EE6F5F"/>
    <w:rsid w:val="00F63D91"/>
    <w:rsid w:val="0E3623F7"/>
    <w:rsid w:val="1C1F1914"/>
    <w:rsid w:val="20B60FAD"/>
    <w:rsid w:val="217D35DE"/>
    <w:rsid w:val="21A14FB1"/>
    <w:rsid w:val="2F02343B"/>
    <w:rsid w:val="308E4678"/>
    <w:rsid w:val="33A10D0F"/>
    <w:rsid w:val="3EA1698B"/>
    <w:rsid w:val="3FA53B70"/>
    <w:rsid w:val="429F4205"/>
    <w:rsid w:val="470C1BCF"/>
    <w:rsid w:val="554672AC"/>
    <w:rsid w:val="5D14180F"/>
    <w:rsid w:val="5D2B4EC5"/>
    <w:rsid w:val="60544F6C"/>
    <w:rsid w:val="67E10B0A"/>
    <w:rsid w:val="6F6D27F9"/>
    <w:rsid w:val="7297509B"/>
    <w:rsid w:val="741915E0"/>
    <w:rsid w:val="7B6F43B2"/>
    <w:rsid w:val="7C137A8C"/>
    <w:rsid w:val="7C262AEC"/>
    <w:rsid w:val="7C7A4BE6"/>
    <w:rsid w:val="7DFD1E51"/>
    <w:rsid w:val="7E3609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80" w:lineRule="exact"/>
      <w:ind w:firstLine="200" w:firstLineChars="200"/>
      <w:jc w:val="both"/>
    </w:pPr>
    <w:rPr>
      <w:rFonts w:ascii="Calibri" w:hAnsi="Calibri" w:eastAsia="宋体" w:cs="Times New Roman"/>
      <w:kern w:val="2"/>
      <w:sz w:val="21"/>
      <w:szCs w:val="22"/>
      <w:lang w:val="en-US" w:eastAsia="zh-CN" w:bidi="ar-SA"/>
    </w:rPr>
  </w:style>
  <w:style w:type="character" w:default="1" w:styleId="11">
    <w:name w:val="Default Paragraph Font"/>
    <w:autoRedefine/>
    <w:qFormat/>
    <w:uiPriority w:val="0"/>
    <w:rPr>
      <w:rFonts w:ascii="Calibri" w:hAnsi="Calibri" w:eastAsia="宋体" w:cs="Times New Roman"/>
    </w:rPr>
  </w:style>
  <w:style w:type="table" w:default="1" w:styleId="10">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line="560" w:lineRule="exact"/>
      <w:ind w:firstLineChars="200"/>
    </w:pPr>
    <w:rPr>
      <w:rFonts w:ascii="仿宋_GB2312" w:hAnsi="仿宋_GB2312" w:eastAsia="仿宋_GB2312" w:cs="Times New Roman"/>
    </w:rPr>
  </w:style>
  <w:style w:type="paragraph" w:customStyle="1" w:styleId="3">
    <w:name w:val="左对齐正文"/>
    <w:qFormat/>
    <w:uiPriority w:val="0"/>
    <w:rPr>
      <w:rFonts w:ascii="Calibri" w:hAnsi="Calibri" w:eastAsia="仿宋_GB2312" w:cs="Times New Roman"/>
      <w:kern w:val="2"/>
      <w:sz w:val="32"/>
      <w:szCs w:val="22"/>
      <w:lang w:val="en-US" w:eastAsia="zh-CN" w:bidi="ar-SA"/>
    </w:rPr>
  </w:style>
  <w:style w:type="paragraph" w:styleId="4">
    <w:name w:val="Salutation"/>
    <w:basedOn w:val="1"/>
    <w:next w:val="1"/>
    <w:autoRedefine/>
    <w:qFormat/>
    <w:uiPriority w:val="0"/>
    <w:rPr>
      <w:rFonts w:ascii="Calibri" w:hAnsi="Calibri" w:eastAsia="宋体" w:cs="Times New Roman"/>
      <w:szCs w:val="24"/>
    </w:rPr>
  </w:style>
  <w:style w:type="paragraph" w:styleId="5">
    <w:name w:val="Body Text Indent"/>
    <w:basedOn w:val="1"/>
    <w:link w:val="12"/>
    <w:qFormat/>
    <w:uiPriority w:val="0"/>
    <w:pPr>
      <w:spacing w:after="120"/>
      <w:ind w:left="420" w:leftChars="200"/>
    </w:pPr>
    <w:rPr>
      <w:rFonts w:ascii="Calibri" w:hAnsi="Calibri" w:eastAsia="宋体" w:cs="Times New Roman"/>
    </w:rPr>
  </w:style>
  <w:style w:type="paragraph" w:styleId="6">
    <w:name w:val="footer"/>
    <w:basedOn w:val="1"/>
    <w:autoRedefine/>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link w:val="13"/>
    <w:autoRedefine/>
    <w:qFormat/>
    <w:uiPriority w:val="0"/>
    <w:pPr>
      <w:spacing w:after="0" w:line="240" w:lineRule="auto"/>
      <w:ind w:firstLine="420"/>
    </w:pPr>
    <w:rPr>
      <w:rFonts w:ascii="Calibri" w:hAnsi="Calibri" w:eastAsia="宋体" w:cs="Times New Roman"/>
      <w:szCs w:val="24"/>
    </w:rPr>
  </w:style>
  <w:style w:type="character" w:customStyle="1" w:styleId="12">
    <w:name w:val="正文文本缩进 Char"/>
    <w:basedOn w:val="11"/>
    <w:link w:val="5"/>
    <w:qFormat/>
    <w:uiPriority w:val="0"/>
    <w:rPr>
      <w:rFonts w:ascii="Calibri" w:hAnsi="Calibri" w:eastAsia="宋体" w:cs="Times New Roman"/>
      <w:kern w:val="2"/>
      <w:sz w:val="21"/>
      <w:szCs w:val="22"/>
    </w:rPr>
  </w:style>
  <w:style w:type="character" w:customStyle="1" w:styleId="13">
    <w:name w:val="正文首行缩进 2 Char"/>
    <w:basedOn w:val="12"/>
    <w:link w:val="9"/>
    <w:autoRedefine/>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1077</Words>
  <Characters>6144</Characters>
  <Lines>51</Lines>
  <Paragraphs>14</Paragraphs>
  <TotalTime>0</TotalTime>
  <ScaleCrop>false</ScaleCrop>
  <LinksUpToDate>false</LinksUpToDate>
  <CharactersWithSpaces>7207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2024-04-07T06:51:00Z</dcterms:created>
  <dc:creator>Administrator</dc:creator>
  <cp:lastModifiedBy>小白</cp:lastModifiedBy>
  <cp:lastPrinted>2023-01-29T05:43:00Z</cp:lastPrinted>
  <dcterms:modified xsi:type="dcterms:W3CDTF">2024-04-07T07:01:36Z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15477C3AF5C34D35ACB901C48778F153_13</vt:lpwstr>
  </property>
</Properties>
</file>