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方正小标宋简体"/>
          <w:b/>
          <w:bCs/>
          <w:sz w:val="52"/>
          <w:szCs w:val="44"/>
        </w:rPr>
      </w:pPr>
      <w:bookmarkStart w:id="60" w:name="_GoBack"/>
      <w:bookmarkEnd w:id="60"/>
    </w:p>
    <w:p>
      <w:pPr>
        <w:spacing w:line="360" w:lineRule="auto"/>
        <w:jc w:val="center"/>
        <w:rPr>
          <w:rFonts w:ascii="黑体" w:hAnsi="黑体" w:eastAsia="黑体" w:cs="方正小标宋简体"/>
          <w:b/>
          <w:bCs/>
          <w:sz w:val="52"/>
          <w:szCs w:val="52"/>
        </w:rPr>
      </w:pPr>
    </w:p>
    <w:p>
      <w:pPr>
        <w:spacing w:line="360" w:lineRule="auto"/>
        <w:jc w:val="center"/>
        <w:rPr>
          <w:rFonts w:ascii="黑体" w:hAnsi="黑体" w:eastAsia="黑体" w:cs="方正小标宋简体"/>
          <w:b/>
          <w:bCs/>
          <w:sz w:val="52"/>
          <w:szCs w:val="52"/>
        </w:rPr>
      </w:pPr>
      <w:r>
        <w:rPr>
          <w:rFonts w:hint="eastAsia" w:ascii="黑体" w:hAnsi="黑体" w:eastAsia="黑体" w:cs="方正小标宋简体"/>
          <w:b/>
          <w:bCs/>
          <w:sz w:val="52"/>
          <w:szCs w:val="52"/>
        </w:rPr>
        <w:t>长春市朝阳区应急管理</w:t>
      </w:r>
    </w:p>
    <w:p>
      <w:pPr>
        <w:spacing w:line="360" w:lineRule="auto"/>
        <w:jc w:val="center"/>
        <w:rPr>
          <w:rFonts w:ascii="黑体" w:hAnsi="黑体" w:eastAsia="黑体" w:cs="方正小标宋简体"/>
          <w:b/>
          <w:bCs/>
          <w:sz w:val="52"/>
          <w:szCs w:val="52"/>
        </w:rPr>
      </w:pPr>
      <w:r>
        <w:rPr>
          <w:rFonts w:hint="eastAsia" w:ascii="黑体" w:hAnsi="黑体" w:eastAsia="黑体" w:cs="方正小标宋简体"/>
          <w:b/>
          <w:bCs/>
          <w:sz w:val="52"/>
          <w:szCs w:val="52"/>
        </w:rPr>
        <w:t>“十四五”规划</w:t>
      </w: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52"/>
          <w:szCs w:val="44"/>
        </w:rPr>
      </w:pPr>
    </w:p>
    <w:p>
      <w:pPr>
        <w:spacing w:line="560" w:lineRule="exact"/>
        <w:jc w:val="center"/>
        <w:rPr>
          <w:rFonts w:ascii="黑体" w:hAnsi="黑体" w:eastAsia="黑体" w:cs="方正小标宋简体"/>
          <w:b/>
          <w:bCs/>
          <w:sz w:val="40"/>
          <w:szCs w:val="44"/>
        </w:rPr>
      </w:pPr>
    </w:p>
    <w:p>
      <w:pPr>
        <w:spacing w:line="560" w:lineRule="exact"/>
        <w:jc w:val="center"/>
        <w:rPr>
          <w:rFonts w:ascii="黑体" w:hAnsi="黑体" w:eastAsia="黑体" w:cs="方正小标宋简体"/>
          <w:b/>
          <w:bCs/>
          <w:sz w:val="32"/>
          <w:szCs w:val="32"/>
        </w:rPr>
      </w:pPr>
      <w:r>
        <w:rPr>
          <w:rFonts w:hint="eastAsia" w:ascii="黑体" w:hAnsi="黑体" w:eastAsia="黑体" w:cs="方正小标宋简体"/>
          <w:b/>
          <w:bCs/>
          <w:sz w:val="32"/>
          <w:szCs w:val="32"/>
        </w:rPr>
        <w:t>长春市朝阳区应急管理局</w:t>
      </w:r>
    </w:p>
    <w:p>
      <w:pPr>
        <w:spacing w:line="560" w:lineRule="exact"/>
        <w:jc w:val="center"/>
        <w:rPr>
          <w:rFonts w:ascii="黑体" w:hAnsi="黑体" w:eastAsia="黑体" w:cs="方正小标宋简体"/>
          <w:b/>
          <w:bCs/>
          <w:sz w:val="32"/>
          <w:szCs w:val="32"/>
        </w:rPr>
      </w:pPr>
      <w:r>
        <w:rPr>
          <w:rFonts w:hint="eastAsia" w:ascii="黑体" w:hAnsi="黑体" w:eastAsia="黑体" w:cs="方正小标宋简体"/>
          <w:b/>
          <w:bCs/>
          <w:sz w:val="32"/>
          <w:szCs w:val="32"/>
        </w:rPr>
        <w:t>2020年 10 月</w:t>
      </w:r>
    </w:p>
    <w:p>
      <w:pPr>
        <w:pStyle w:val="2"/>
      </w:pPr>
    </w:p>
    <w:p>
      <w:pPr>
        <w:spacing w:line="360" w:lineRule="auto"/>
        <w:jc w:val="center"/>
        <w:rPr>
          <w:rFonts w:ascii="Times New Roman" w:hAnsi="Times New Roman" w:eastAsia="仿宋_GB2312"/>
          <w:b/>
          <w:sz w:val="52"/>
          <w:szCs w:val="64"/>
        </w:rPr>
      </w:pPr>
      <w:r>
        <w:rPr>
          <w:rFonts w:hint="eastAsia" w:ascii="Times New Roman" w:hAnsi="Times New Roman" w:eastAsia="仿宋_GB2312"/>
          <w:b/>
          <w:sz w:val="52"/>
          <w:szCs w:val="64"/>
        </w:rPr>
        <w:t>长春市朝阳区应急管理</w:t>
      </w:r>
    </w:p>
    <w:p>
      <w:pPr>
        <w:spacing w:line="360" w:lineRule="auto"/>
        <w:jc w:val="center"/>
        <w:rPr>
          <w:rFonts w:ascii="Times New Roman" w:hAnsi="Times New Roman" w:eastAsia="仿宋_GB2312"/>
          <w:b/>
          <w:sz w:val="52"/>
          <w:szCs w:val="64"/>
        </w:rPr>
      </w:pPr>
      <w:r>
        <w:rPr>
          <w:rFonts w:ascii="Times New Roman" w:hAnsi="Times New Roman" w:eastAsia="仿宋_GB2312"/>
          <w:b/>
          <w:sz w:val="52"/>
          <w:szCs w:val="64"/>
        </w:rPr>
        <w:t>“十</w:t>
      </w:r>
      <w:r>
        <w:rPr>
          <w:rFonts w:hint="eastAsia" w:ascii="Times New Roman" w:hAnsi="Times New Roman" w:eastAsia="仿宋_GB2312"/>
          <w:b/>
          <w:sz w:val="52"/>
          <w:szCs w:val="64"/>
        </w:rPr>
        <w:t>四</w:t>
      </w:r>
      <w:r>
        <w:rPr>
          <w:rFonts w:ascii="Times New Roman" w:hAnsi="Times New Roman" w:eastAsia="仿宋_GB2312"/>
          <w:b/>
          <w:sz w:val="52"/>
          <w:szCs w:val="64"/>
        </w:rPr>
        <w:t>五”规划</w:t>
      </w:r>
    </w:p>
    <w:p>
      <w:pPr>
        <w:spacing w:line="600" w:lineRule="exact"/>
        <w:jc w:val="center"/>
        <w:rPr>
          <w:rFonts w:ascii="仿宋_GB2312" w:hAnsi="Times New Roman" w:eastAsia="仿宋_GB2312"/>
          <w:b/>
          <w:sz w:val="44"/>
          <w:szCs w:val="44"/>
        </w:rPr>
      </w:pPr>
      <w:r>
        <w:rPr>
          <w:rFonts w:hint="eastAsia" w:ascii="仿宋_GB2312" w:hAnsi="Times New Roman" w:eastAsia="仿宋_GB2312"/>
          <w:b/>
          <w:sz w:val="44"/>
          <w:szCs w:val="44"/>
        </w:rPr>
        <w:t>（20</w:t>
      </w:r>
      <w:r>
        <w:rPr>
          <w:rFonts w:ascii="仿宋_GB2312" w:hAnsi="Times New Roman" w:eastAsia="仿宋_GB2312"/>
          <w:b/>
          <w:sz w:val="44"/>
          <w:szCs w:val="44"/>
        </w:rPr>
        <w:t>21</w:t>
      </w:r>
      <w:r>
        <w:rPr>
          <w:rFonts w:hint="eastAsia" w:ascii="仿宋_GB2312" w:hAnsi="Times New Roman" w:eastAsia="仿宋_GB2312"/>
          <w:b/>
          <w:sz w:val="44"/>
          <w:szCs w:val="44"/>
        </w:rPr>
        <w:t>-202</w:t>
      </w:r>
      <w:r>
        <w:rPr>
          <w:rFonts w:ascii="仿宋_GB2312" w:hAnsi="Times New Roman" w:eastAsia="仿宋_GB2312"/>
          <w:b/>
          <w:sz w:val="44"/>
          <w:szCs w:val="44"/>
        </w:rPr>
        <w:t>5</w:t>
      </w:r>
      <w:r>
        <w:rPr>
          <w:rFonts w:hint="eastAsia" w:ascii="仿宋_GB2312" w:hAnsi="Times New Roman" w:eastAsia="仿宋_GB2312"/>
          <w:b/>
          <w:sz w:val="44"/>
          <w:szCs w:val="44"/>
        </w:rPr>
        <w:t>年）</w:t>
      </w:r>
    </w:p>
    <w:p>
      <w:pPr>
        <w:spacing w:line="600" w:lineRule="exact"/>
        <w:jc w:val="center"/>
        <w:rPr>
          <w:rFonts w:ascii="Times New Roman" w:hAnsi="Times New Roman" w:eastAsia="仿宋_GB2312"/>
          <w:b/>
          <w:sz w:val="36"/>
          <w:szCs w:val="36"/>
        </w:rPr>
      </w:pPr>
    </w:p>
    <w:p>
      <w:pPr>
        <w:spacing w:line="600" w:lineRule="exact"/>
        <w:jc w:val="center"/>
        <w:rPr>
          <w:rFonts w:ascii="Times New Roman" w:hAnsi="Times New Roman" w:eastAsia="仿宋_GB2312"/>
          <w:b/>
          <w:sz w:val="44"/>
          <w:szCs w:val="36"/>
        </w:rPr>
      </w:pPr>
    </w:p>
    <w:p>
      <w:pPr>
        <w:ind w:firstLine="880" w:firstLineChars="400"/>
        <w:rPr>
          <w:rFonts w:ascii="Times New Roman" w:hAnsi="Times New Roman" w:eastAsia="仿宋_GB2312"/>
          <w:sz w:val="22"/>
          <w:szCs w:val="24"/>
        </w:rPr>
      </w:pPr>
    </w:p>
    <w:p>
      <w:pPr>
        <w:ind w:firstLine="880" w:firstLineChars="400"/>
        <w:rPr>
          <w:rFonts w:ascii="Times New Roman" w:hAnsi="Times New Roman" w:eastAsia="仿宋_GB2312"/>
          <w:sz w:val="22"/>
          <w:szCs w:val="24"/>
        </w:rPr>
      </w:pPr>
    </w:p>
    <w:p>
      <w:pPr>
        <w:ind w:firstLine="880" w:firstLineChars="400"/>
        <w:rPr>
          <w:rFonts w:ascii="Times New Roman" w:hAnsi="Times New Roman" w:eastAsia="仿宋_GB2312"/>
          <w:sz w:val="22"/>
          <w:szCs w:val="24"/>
        </w:rPr>
      </w:pPr>
    </w:p>
    <w:p>
      <w:pPr>
        <w:ind w:firstLine="880" w:firstLineChars="400"/>
        <w:rPr>
          <w:rFonts w:ascii="Times New Roman" w:hAnsi="Times New Roman" w:eastAsia="仿宋_GB2312"/>
          <w:sz w:val="22"/>
          <w:szCs w:val="24"/>
        </w:rPr>
      </w:pPr>
    </w:p>
    <w:p>
      <w:pPr>
        <w:ind w:firstLine="880" w:firstLineChars="400"/>
        <w:rPr>
          <w:rFonts w:ascii="Times New Roman" w:hAnsi="Times New Roman" w:eastAsia="仿宋_GB2312"/>
          <w:sz w:val="22"/>
          <w:szCs w:val="24"/>
        </w:rPr>
      </w:pPr>
    </w:p>
    <w:p>
      <w:pPr>
        <w:ind w:firstLine="880" w:firstLineChars="400"/>
        <w:rPr>
          <w:rFonts w:ascii="Times New Roman" w:hAnsi="Times New Roman" w:eastAsia="仿宋_GB2312"/>
          <w:sz w:val="22"/>
          <w:szCs w:val="24"/>
        </w:rPr>
      </w:pPr>
    </w:p>
    <w:p>
      <w:pPr>
        <w:ind w:firstLine="880" w:firstLineChars="400"/>
        <w:rPr>
          <w:rFonts w:ascii="Times New Roman" w:hAnsi="Times New Roman" w:eastAsia="仿宋_GB2312"/>
          <w:sz w:val="22"/>
          <w:szCs w:val="24"/>
        </w:rPr>
      </w:pPr>
    </w:p>
    <w:p>
      <w:pPr>
        <w:pStyle w:val="2"/>
      </w:pPr>
    </w:p>
    <w:p/>
    <w:p>
      <w:pPr>
        <w:ind w:firstLine="880" w:firstLineChars="400"/>
        <w:rPr>
          <w:rFonts w:ascii="Times New Roman" w:hAnsi="Times New Roman" w:eastAsia="仿宋_GB2312"/>
          <w:sz w:val="22"/>
          <w:szCs w:val="24"/>
        </w:rPr>
      </w:pPr>
    </w:p>
    <w:p>
      <w:pPr>
        <w:spacing w:line="600" w:lineRule="exact"/>
        <w:ind w:firstLine="1440" w:firstLineChars="400"/>
        <w:rPr>
          <w:rFonts w:ascii="Times New Roman" w:hAnsi="Times New Roman" w:eastAsia="仿宋_GB2312"/>
          <w:sz w:val="36"/>
          <w:szCs w:val="36"/>
        </w:rPr>
      </w:pPr>
    </w:p>
    <w:p>
      <w:pPr>
        <w:spacing w:line="600" w:lineRule="exact"/>
        <w:ind w:firstLine="1440" w:firstLineChars="400"/>
        <w:rPr>
          <w:rFonts w:ascii="Times New Roman" w:hAnsi="Times New Roman" w:eastAsia="仿宋_GB2312"/>
          <w:sz w:val="36"/>
          <w:szCs w:val="36"/>
        </w:rPr>
      </w:pPr>
    </w:p>
    <w:tbl>
      <w:tblPr>
        <w:tblStyle w:val="17"/>
        <w:tblpPr w:leftFromText="180" w:rightFromText="180" w:vertAnchor="text" w:horzAnchor="page" w:tblpX="2923" w:tblpY="-32"/>
        <w:tblW w:w="0" w:type="auto"/>
        <w:tblInd w:w="0" w:type="dxa"/>
        <w:tblLayout w:type="fixed"/>
        <w:tblCellMar>
          <w:top w:w="0" w:type="dxa"/>
          <w:left w:w="108" w:type="dxa"/>
          <w:bottom w:w="0" w:type="dxa"/>
          <w:right w:w="108" w:type="dxa"/>
        </w:tblCellMar>
      </w:tblPr>
      <w:tblGrid>
        <w:gridCol w:w="1710"/>
        <w:gridCol w:w="300"/>
        <w:gridCol w:w="5041"/>
      </w:tblGrid>
      <w:tr>
        <w:tblPrEx>
          <w:tblCellMar>
            <w:top w:w="0" w:type="dxa"/>
            <w:left w:w="108" w:type="dxa"/>
            <w:bottom w:w="0" w:type="dxa"/>
            <w:right w:w="108" w:type="dxa"/>
          </w:tblCellMar>
        </w:tblPrEx>
        <w:trPr>
          <w:trHeight w:val="892" w:hRule="atLeast"/>
        </w:trPr>
        <w:tc>
          <w:tcPr>
            <w:tcW w:w="1710" w:type="dxa"/>
            <w:vAlign w:val="center"/>
          </w:tcPr>
          <w:p>
            <w:pPr>
              <w:adjustRightInd w:val="0"/>
              <w:snapToGrid w:val="0"/>
              <w:jc w:val="distribute"/>
              <w:rPr>
                <w:rFonts w:ascii="仿宋" w:hAnsi="仿宋" w:eastAsia="仿宋"/>
                <w:b/>
                <w:bCs/>
                <w:snapToGrid w:val="0"/>
                <w:kern w:val="0"/>
                <w:sz w:val="28"/>
                <w:szCs w:val="28"/>
              </w:rPr>
            </w:pPr>
            <w:r>
              <w:rPr>
                <w:rFonts w:hint="eastAsia" w:ascii="仿宋" w:hAnsi="仿宋" w:eastAsia="仿宋"/>
                <w:bCs/>
                <w:snapToGrid w:val="0"/>
                <w:kern w:val="0"/>
                <w:sz w:val="28"/>
                <w:szCs w:val="28"/>
              </w:rPr>
              <w:t>实施</w:t>
            </w:r>
            <w:r>
              <w:rPr>
                <w:rFonts w:ascii="仿宋" w:hAnsi="仿宋" w:eastAsia="仿宋"/>
                <w:bCs/>
                <w:snapToGrid w:val="0"/>
                <w:kern w:val="0"/>
                <w:sz w:val="28"/>
                <w:szCs w:val="28"/>
              </w:rPr>
              <w:t>单位</w:t>
            </w:r>
          </w:p>
        </w:tc>
        <w:tc>
          <w:tcPr>
            <w:tcW w:w="300" w:type="dxa"/>
            <w:vAlign w:val="center"/>
          </w:tcPr>
          <w:p>
            <w:pPr>
              <w:adjustRightInd w:val="0"/>
              <w:snapToGrid w:val="0"/>
              <w:jc w:val="center"/>
              <w:rPr>
                <w:rFonts w:ascii="仿宋" w:hAnsi="仿宋" w:eastAsia="仿宋"/>
                <w:bCs/>
                <w:snapToGrid w:val="0"/>
                <w:kern w:val="0"/>
                <w:sz w:val="28"/>
                <w:szCs w:val="28"/>
              </w:rPr>
            </w:pPr>
            <w:r>
              <w:rPr>
                <w:rFonts w:ascii="仿宋" w:hAnsi="仿宋" w:eastAsia="仿宋"/>
                <w:bCs/>
                <w:snapToGrid w:val="0"/>
                <w:kern w:val="0"/>
                <w:sz w:val="28"/>
                <w:szCs w:val="28"/>
              </w:rPr>
              <w:t>：</w:t>
            </w:r>
          </w:p>
        </w:tc>
        <w:tc>
          <w:tcPr>
            <w:tcW w:w="5041" w:type="dxa"/>
            <w:vAlign w:val="center"/>
          </w:tcPr>
          <w:p>
            <w:pPr>
              <w:adjustRightInd w:val="0"/>
              <w:snapToGrid w:val="0"/>
              <w:jc w:val="left"/>
              <w:rPr>
                <w:rFonts w:ascii="仿宋" w:hAnsi="仿宋" w:eastAsia="仿宋"/>
                <w:bCs/>
                <w:snapToGrid w:val="0"/>
                <w:kern w:val="0"/>
                <w:sz w:val="28"/>
                <w:szCs w:val="28"/>
              </w:rPr>
            </w:pPr>
            <w:r>
              <w:rPr>
                <w:rFonts w:hint="eastAsia" w:ascii="仿宋" w:hAnsi="仿宋" w:eastAsia="仿宋"/>
                <w:bCs/>
                <w:snapToGrid w:val="0"/>
                <w:kern w:val="0"/>
                <w:sz w:val="28"/>
                <w:szCs w:val="28"/>
              </w:rPr>
              <w:t>长春市朝阳区应急管理局</w:t>
            </w:r>
          </w:p>
        </w:tc>
      </w:tr>
      <w:tr>
        <w:trPr>
          <w:trHeight w:val="892" w:hRule="atLeast"/>
        </w:trPr>
        <w:tc>
          <w:tcPr>
            <w:tcW w:w="1710" w:type="dxa"/>
            <w:vAlign w:val="center"/>
          </w:tcPr>
          <w:p>
            <w:pPr>
              <w:adjustRightInd w:val="0"/>
              <w:snapToGrid w:val="0"/>
              <w:jc w:val="distribute"/>
              <w:rPr>
                <w:rFonts w:ascii="仿宋" w:hAnsi="仿宋" w:eastAsia="仿宋"/>
                <w:bCs/>
                <w:snapToGrid w:val="0"/>
                <w:kern w:val="0"/>
                <w:sz w:val="28"/>
                <w:szCs w:val="28"/>
              </w:rPr>
            </w:pPr>
            <w:r>
              <w:rPr>
                <w:rFonts w:hint="eastAsia" w:ascii="仿宋" w:hAnsi="仿宋" w:eastAsia="仿宋"/>
                <w:bCs/>
                <w:snapToGrid w:val="0"/>
                <w:kern w:val="0"/>
                <w:sz w:val="28"/>
                <w:szCs w:val="28"/>
              </w:rPr>
              <w:t>参编人员</w:t>
            </w:r>
          </w:p>
        </w:tc>
        <w:tc>
          <w:tcPr>
            <w:tcW w:w="300" w:type="dxa"/>
            <w:vAlign w:val="center"/>
          </w:tcPr>
          <w:p>
            <w:pPr>
              <w:adjustRightInd w:val="0"/>
              <w:snapToGrid w:val="0"/>
              <w:jc w:val="center"/>
              <w:rPr>
                <w:rFonts w:ascii="仿宋" w:hAnsi="仿宋" w:eastAsia="仿宋"/>
                <w:bCs/>
                <w:snapToGrid w:val="0"/>
                <w:kern w:val="0"/>
                <w:sz w:val="28"/>
                <w:szCs w:val="28"/>
              </w:rPr>
            </w:pPr>
            <w:r>
              <w:rPr>
                <w:rFonts w:ascii="仿宋" w:hAnsi="仿宋" w:eastAsia="仿宋"/>
                <w:bCs/>
                <w:snapToGrid w:val="0"/>
                <w:kern w:val="0"/>
                <w:sz w:val="28"/>
                <w:szCs w:val="28"/>
              </w:rPr>
              <w:t>：</w:t>
            </w:r>
          </w:p>
        </w:tc>
        <w:tc>
          <w:tcPr>
            <w:tcW w:w="5041" w:type="dxa"/>
            <w:vAlign w:val="center"/>
          </w:tcPr>
          <w:p>
            <w:pPr>
              <w:adjustRightInd w:val="0"/>
              <w:snapToGrid w:val="0"/>
              <w:jc w:val="left"/>
              <w:rPr>
                <w:rFonts w:ascii="仿宋" w:hAnsi="仿宋" w:eastAsia="仿宋"/>
                <w:bCs/>
                <w:snapToGrid w:val="0"/>
                <w:kern w:val="0"/>
                <w:sz w:val="28"/>
                <w:szCs w:val="28"/>
              </w:rPr>
            </w:pPr>
            <w:r>
              <w:rPr>
                <w:rFonts w:hint="eastAsia" w:ascii="仿宋" w:hAnsi="仿宋" w:eastAsia="仿宋"/>
                <w:bCs/>
                <w:snapToGrid w:val="0"/>
                <w:kern w:val="0"/>
                <w:sz w:val="28"/>
                <w:szCs w:val="28"/>
              </w:rPr>
              <w:t>陈亚南</w:t>
            </w:r>
            <w:r>
              <w:rPr>
                <w:rFonts w:ascii="仿宋" w:hAnsi="仿宋" w:eastAsia="仿宋"/>
                <w:bCs/>
                <w:snapToGrid w:val="0"/>
                <w:kern w:val="0"/>
                <w:sz w:val="28"/>
                <w:szCs w:val="28"/>
              </w:rPr>
              <w:t xml:space="preserve"> </w:t>
            </w:r>
            <w:r>
              <w:rPr>
                <w:rFonts w:hint="eastAsia" w:ascii="仿宋" w:hAnsi="仿宋" w:eastAsia="仿宋"/>
                <w:bCs/>
                <w:snapToGrid w:val="0"/>
                <w:kern w:val="0"/>
                <w:sz w:val="28"/>
                <w:szCs w:val="28"/>
              </w:rPr>
              <w:t>刘 新 张以晨 李</w:t>
            </w:r>
            <w:r>
              <w:rPr>
                <w:rFonts w:ascii="仿宋" w:hAnsi="仿宋" w:eastAsia="仿宋"/>
                <w:bCs/>
                <w:snapToGrid w:val="0"/>
                <w:kern w:val="0"/>
                <w:sz w:val="28"/>
                <w:szCs w:val="28"/>
              </w:rPr>
              <w:t xml:space="preserve"> </w:t>
            </w:r>
            <w:r>
              <w:rPr>
                <w:rFonts w:hint="eastAsia" w:ascii="仿宋" w:hAnsi="仿宋" w:eastAsia="仿宋"/>
                <w:bCs/>
                <w:snapToGrid w:val="0"/>
                <w:kern w:val="0"/>
                <w:sz w:val="28"/>
                <w:szCs w:val="28"/>
              </w:rPr>
              <w:t>丽 关忠慧</w:t>
            </w:r>
          </w:p>
        </w:tc>
      </w:tr>
      <w:tr>
        <w:tblPrEx>
          <w:tblCellMar>
            <w:top w:w="0" w:type="dxa"/>
            <w:left w:w="108" w:type="dxa"/>
            <w:bottom w:w="0" w:type="dxa"/>
            <w:right w:w="108" w:type="dxa"/>
          </w:tblCellMar>
        </w:tblPrEx>
        <w:trPr>
          <w:trHeight w:val="892" w:hRule="atLeast"/>
        </w:trPr>
        <w:tc>
          <w:tcPr>
            <w:tcW w:w="1710" w:type="dxa"/>
            <w:vAlign w:val="center"/>
          </w:tcPr>
          <w:p>
            <w:pPr>
              <w:adjustRightInd w:val="0"/>
              <w:snapToGrid w:val="0"/>
              <w:jc w:val="distribute"/>
              <w:rPr>
                <w:rFonts w:ascii="仿宋" w:hAnsi="仿宋" w:eastAsia="仿宋"/>
                <w:bCs/>
                <w:snapToGrid w:val="0"/>
                <w:kern w:val="0"/>
                <w:sz w:val="28"/>
                <w:szCs w:val="28"/>
              </w:rPr>
            </w:pPr>
            <w:r>
              <w:rPr>
                <w:rFonts w:ascii="仿宋" w:hAnsi="仿宋" w:eastAsia="仿宋"/>
                <w:bCs/>
                <w:snapToGrid w:val="0"/>
                <w:kern w:val="0"/>
                <w:sz w:val="28"/>
                <w:szCs w:val="28"/>
              </w:rPr>
              <w:t>编制单位</w:t>
            </w:r>
          </w:p>
        </w:tc>
        <w:tc>
          <w:tcPr>
            <w:tcW w:w="300" w:type="dxa"/>
            <w:vAlign w:val="center"/>
          </w:tcPr>
          <w:p>
            <w:pPr>
              <w:adjustRightInd w:val="0"/>
              <w:snapToGrid w:val="0"/>
              <w:jc w:val="center"/>
              <w:rPr>
                <w:rFonts w:ascii="仿宋" w:hAnsi="仿宋" w:eastAsia="仿宋"/>
                <w:bCs/>
                <w:snapToGrid w:val="0"/>
                <w:kern w:val="0"/>
                <w:sz w:val="28"/>
                <w:szCs w:val="28"/>
              </w:rPr>
            </w:pPr>
            <w:r>
              <w:rPr>
                <w:rFonts w:ascii="仿宋" w:hAnsi="仿宋" w:eastAsia="仿宋"/>
                <w:bCs/>
                <w:snapToGrid w:val="0"/>
                <w:kern w:val="0"/>
                <w:sz w:val="28"/>
                <w:szCs w:val="28"/>
              </w:rPr>
              <w:t>：</w:t>
            </w:r>
          </w:p>
        </w:tc>
        <w:tc>
          <w:tcPr>
            <w:tcW w:w="5041" w:type="dxa"/>
            <w:vAlign w:val="center"/>
          </w:tcPr>
          <w:p>
            <w:pPr>
              <w:adjustRightInd w:val="0"/>
              <w:snapToGrid w:val="0"/>
              <w:jc w:val="left"/>
              <w:rPr>
                <w:rFonts w:ascii="仿宋" w:hAnsi="仿宋" w:eastAsia="仿宋"/>
                <w:bCs/>
                <w:snapToGrid w:val="0"/>
                <w:kern w:val="0"/>
                <w:sz w:val="28"/>
                <w:szCs w:val="28"/>
              </w:rPr>
            </w:pPr>
            <w:r>
              <w:rPr>
                <w:rFonts w:hint="eastAsia" w:ascii="仿宋" w:hAnsi="仿宋" w:eastAsia="仿宋"/>
                <w:bCs/>
                <w:snapToGrid w:val="0"/>
                <w:kern w:val="0"/>
                <w:sz w:val="28"/>
                <w:szCs w:val="28"/>
              </w:rPr>
              <w:t>长春工程学院吉林应急管理学院</w:t>
            </w:r>
          </w:p>
        </w:tc>
      </w:tr>
      <w:tr>
        <w:tblPrEx>
          <w:tblCellMar>
            <w:top w:w="0" w:type="dxa"/>
            <w:left w:w="108" w:type="dxa"/>
            <w:bottom w:w="0" w:type="dxa"/>
            <w:right w:w="108" w:type="dxa"/>
          </w:tblCellMar>
        </w:tblPrEx>
        <w:trPr>
          <w:trHeight w:val="892" w:hRule="atLeast"/>
        </w:trPr>
        <w:tc>
          <w:tcPr>
            <w:tcW w:w="1710" w:type="dxa"/>
            <w:vAlign w:val="center"/>
          </w:tcPr>
          <w:p>
            <w:pPr>
              <w:adjustRightInd w:val="0"/>
              <w:snapToGrid w:val="0"/>
              <w:jc w:val="distribute"/>
              <w:rPr>
                <w:rFonts w:ascii="仿宋" w:hAnsi="仿宋" w:eastAsia="仿宋"/>
                <w:bCs/>
                <w:snapToGrid w:val="0"/>
                <w:kern w:val="0"/>
                <w:sz w:val="28"/>
                <w:szCs w:val="28"/>
              </w:rPr>
            </w:pPr>
            <w:r>
              <w:rPr>
                <w:rFonts w:ascii="仿宋" w:hAnsi="仿宋" w:eastAsia="仿宋"/>
                <w:bCs/>
                <w:snapToGrid w:val="0"/>
                <w:kern w:val="0"/>
                <w:sz w:val="28"/>
                <w:szCs w:val="28"/>
              </w:rPr>
              <w:t>提交时间</w:t>
            </w:r>
          </w:p>
        </w:tc>
        <w:tc>
          <w:tcPr>
            <w:tcW w:w="300" w:type="dxa"/>
            <w:vAlign w:val="center"/>
          </w:tcPr>
          <w:p>
            <w:pPr>
              <w:adjustRightInd w:val="0"/>
              <w:snapToGrid w:val="0"/>
              <w:jc w:val="center"/>
              <w:rPr>
                <w:rFonts w:ascii="仿宋" w:hAnsi="仿宋" w:eastAsia="仿宋"/>
                <w:bCs/>
                <w:snapToGrid w:val="0"/>
                <w:kern w:val="0"/>
                <w:sz w:val="28"/>
                <w:szCs w:val="28"/>
              </w:rPr>
            </w:pPr>
            <w:r>
              <w:rPr>
                <w:rFonts w:ascii="仿宋" w:hAnsi="仿宋" w:eastAsia="仿宋"/>
                <w:bCs/>
                <w:snapToGrid w:val="0"/>
                <w:kern w:val="0"/>
                <w:sz w:val="28"/>
                <w:szCs w:val="28"/>
              </w:rPr>
              <w:t>：</w:t>
            </w:r>
          </w:p>
        </w:tc>
        <w:tc>
          <w:tcPr>
            <w:tcW w:w="5041" w:type="dxa"/>
            <w:vAlign w:val="center"/>
          </w:tcPr>
          <w:p>
            <w:pPr>
              <w:adjustRightInd w:val="0"/>
              <w:snapToGrid w:val="0"/>
              <w:jc w:val="left"/>
              <w:rPr>
                <w:rFonts w:ascii="仿宋" w:hAnsi="仿宋" w:eastAsia="仿宋"/>
                <w:bCs/>
                <w:snapToGrid w:val="0"/>
                <w:kern w:val="0"/>
                <w:sz w:val="28"/>
                <w:szCs w:val="28"/>
              </w:rPr>
            </w:pPr>
            <w:r>
              <w:rPr>
                <w:rFonts w:ascii="仿宋" w:hAnsi="仿宋" w:eastAsia="仿宋"/>
                <w:bCs/>
                <w:snapToGrid w:val="0"/>
                <w:kern w:val="0"/>
                <w:sz w:val="28"/>
                <w:szCs w:val="28"/>
              </w:rPr>
              <w:t>二〇二〇年</w:t>
            </w:r>
            <w:r>
              <w:rPr>
                <w:rFonts w:hint="eastAsia" w:ascii="仿宋" w:hAnsi="仿宋" w:eastAsia="仿宋"/>
                <w:bCs/>
                <w:snapToGrid w:val="0"/>
                <w:kern w:val="0"/>
                <w:sz w:val="28"/>
                <w:szCs w:val="28"/>
              </w:rPr>
              <w:t>十</w:t>
            </w:r>
            <w:r>
              <w:rPr>
                <w:rFonts w:ascii="仿宋" w:hAnsi="仿宋" w:eastAsia="仿宋"/>
                <w:bCs/>
                <w:snapToGrid w:val="0"/>
                <w:kern w:val="0"/>
                <w:sz w:val="28"/>
                <w:szCs w:val="28"/>
              </w:rPr>
              <w:t>月</w:t>
            </w:r>
          </w:p>
        </w:tc>
      </w:tr>
    </w:tbl>
    <w:p>
      <w:pPr>
        <w:spacing w:line="600" w:lineRule="exact"/>
        <w:ind w:firstLine="1440" w:firstLineChars="400"/>
        <w:rPr>
          <w:rFonts w:ascii="Times New Roman" w:hAnsi="Times New Roman" w:eastAsia="仿宋_GB2312"/>
          <w:sz w:val="36"/>
          <w:szCs w:val="36"/>
        </w:rPr>
      </w:pPr>
    </w:p>
    <w:p>
      <w:pPr>
        <w:spacing w:line="600" w:lineRule="exact"/>
        <w:ind w:firstLine="1440" w:firstLineChars="400"/>
        <w:rPr>
          <w:rFonts w:ascii="Times New Roman" w:hAnsi="Times New Roman" w:eastAsia="仿宋_GB2312"/>
          <w:sz w:val="36"/>
          <w:szCs w:val="36"/>
        </w:rPr>
      </w:pPr>
    </w:p>
    <w:p>
      <w:pPr>
        <w:spacing w:line="560" w:lineRule="exact"/>
        <w:rPr>
          <w:rFonts w:ascii="黑体" w:hAnsi="黑体" w:eastAsia="黑体" w:cs="方正小标宋简体"/>
          <w:b/>
          <w:bCs/>
          <w:sz w:val="44"/>
          <w:szCs w:val="44"/>
        </w:rPr>
      </w:pPr>
    </w:p>
    <w:p>
      <w:pPr>
        <w:spacing w:line="560" w:lineRule="exact"/>
        <w:jc w:val="center"/>
        <w:rPr>
          <w:rFonts w:ascii="黑体" w:hAnsi="黑体" w:eastAsia="黑体" w:cs="方正小标宋简体"/>
          <w:b/>
          <w:bCs/>
          <w:sz w:val="44"/>
          <w:szCs w:val="44"/>
        </w:rPr>
      </w:pPr>
    </w:p>
    <w:p>
      <w:pPr>
        <w:spacing w:line="560" w:lineRule="exact"/>
        <w:jc w:val="center"/>
        <w:rPr>
          <w:rFonts w:ascii="黑体" w:hAnsi="黑体" w:eastAsia="黑体" w:cs="方正小标宋简体"/>
          <w:b/>
          <w:bCs/>
          <w:sz w:val="44"/>
          <w:szCs w:val="44"/>
        </w:rPr>
      </w:pPr>
    </w:p>
    <w:p>
      <w:pPr>
        <w:spacing w:line="560" w:lineRule="exact"/>
        <w:jc w:val="center"/>
        <w:rPr>
          <w:rFonts w:ascii="黑体" w:hAnsi="黑体" w:eastAsia="黑体" w:cs="方正小标宋简体"/>
          <w:b/>
          <w:bCs/>
          <w:sz w:val="44"/>
          <w:szCs w:val="44"/>
        </w:rPr>
      </w:pPr>
    </w:p>
    <w:p>
      <w:pPr>
        <w:spacing w:line="560" w:lineRule="exact"/>
        <w:jc w:val="center"/>
        <w:rPr>
          <w:rFonts w:ascii="黑体" w:hAnsi="黑体" w:eastAsia="黑体" w:cs="方正小标宋简体"/>
          <w:b/>
          <w:bCs/>
          <w:sz w:val="44"/>
          <w:szCs w:val="44"/>
        </w:rPr>
      </w:pPr>
    </w:p>
    <w:p>
      <w:pPr>
        <w:spacing w:line="560" w:lineRule="exact"/>
        <w:jc w:val="center"/>
        <w:rPr>
          <w:rFonts w:ascii="黑体" w:hAnsi="黑体" w:eastAsia="黑体" w:cs="方正小标宋简体"/>
          <w:b/>
          <w:bCs/>
          <w:sz w:val="44"/>
          <w:szCs w:val="44"/>
        </w:rPr>
      </w:pPr>
    </w:p>
    <w:p>
      <w:pPr>
        <w:spacing w:line="560" w:lineRule="exact"/>
        <w:jc w:val="center"/>
        <w:rPr>
          <w:rFonts w:ascii="黑体" w:hAnsi="黑体" w:eastAsia="黑体" w:cs="方正小标宋简体"/>
          <w:b/>
          <w:bCs/>
          <w:sz w:val="44"/>
          <w:szCs w:val="44"/>
        </w:rPr>
      </w:pPr>
    </w:p>
    <w:p>
      <w:pPr>
        <w:spacing w:line="560" w:lineRule="exact"/>
        <w:jc w:val="center"/>
        <w:rPr>
          <w:rFonts w:ascii="黑体" w:hAnsi="黑体" w:eastAsia="黑体" w:cs="方正小标宋简体"/>
          <w:b/>
          <w:bCs/>
          <w:sz w:val="44"/>
          <w:szCs w:val="44"/>
        </w:rPr>
      </w:pPr>
      <w:r>
        <w:rPr>
          <w:rFonts w:hint="eastAsia" w:ascii="黑体" w:hAnsi="黑体" w:eastAsia="黑体" w:cs="方正小标宋简体"/>
          <w:b/>
          <w:bCs/>
          <w:sz w:val="44"/>
          <w:szCs w:val="44"/>
        </w:rPr>
        <w:t>目 录</w:t>
      </w:r>
    </w:p>
    <w:p>
      <w:pPr>
        <w:pStyle w:val="12"/>
        <w:rPr>
          <w:rFonts w:cstheme="minorBidi"/>
          <w:b w:val="0"/>
          <w:bCs w:val="0"/>
          <w:szCs w:val="28"/>
        </w:rPr>
      </w:pPr>
      <w:r>
        <w:rPr>
          <w:rFonts w:ascii="黑体" w:hAnsi="黑体" w:eastAsia="黑体" w:cs="方正小标宋简体"/>
          <w:sz w:val="24"/>
          <w:szCs w:val="24"/>
        </w:rPr>
        <w:fldChar w:fldCharType="begin"/>
      </w:r>
      <w:r>
        <w:rPr>
          <w:rFonts w:ascii="黑体" w:hAnsi="黑体" w:eastAsia="黑体" w:cs="方正小标宋简体"/>
          <w:sz w:val="24"/>
          <w:szCs w:val="24"/>
        </w:rPr>
        <w:instrText xml:space="preserve"> </w:instrText>
      </w:r>
      <w:r>
        <w:rPr>
          <w:rFonts w:hint="eastAsia" w:ascii="黑体" w:hAnsi="黑体" w:eastAsia="黑体" w:cs="方正小标宋简体"/>
          <w:sz w:val="24"/>
          <w:szCs w:val="24"/>
        </w:rPr>
        <w:instrText xml:space="preserve">TOC \o "1-3" \h \z \u</w:instrText>
      </w:r>
      <w:r>
        <w:rPr>
          <w:rFonts w:ascii="黑体" w:hAnsi="黑体" w:eastAsia="黑体" w:cs="方正小标宋简体"/>
          <w:sz w:val="24"/>
          <w:szCs w:val="24"/>
        </w:rPr>
        <w:instrText xml:space="preserve"> </w:instrText>
      </w:r>
      <w:r>
        <w:rPr>
          <w:rFonts w:ascii="黑体" w:hAnsi="黑体" w:eastAsia="黑体" w:cs="方正小标宋简体"/>
          <w:sz w:val="24"/>
          <w:szCs w:val="24"/>
        </w:rPr>
        <w:fldChar w:fldCharType="separate"/>
      </w:r>
      <w:r>
        <w:fldChar w:fldCharType="begin"/>
      </w:r>
      <w:r>
        <w:instrText xml:space="preserve"> HYPERLINK \l "_Toc53434447" </w:instrText>
      </w:r>
      <w:r>
        <w:fldChar w:fldCharType="separate"/>
      </w:r>
      <w:r>
        <w:rPr>
          <w:rStyle w:val="20"/>
          <w:szCs w:val="28"/>
        </w:rPr>
        <w:t>前 言</w:t>
      </w:r>
      <w:r>
        <w:rPr>
          <w:szCs w:val="28"/>
        </w:rPr>
        <w:tab/>
      </w:r>
      <w:r>
        <w:rPr>
          <w:szCs w:val="28"/>
        </w:rPr>
        <w:fldChar w:fldCharType="begin"/>
      </w:r>
      <w:r>
        <w:rPr>
          <w:szCs w:val="28"/>
        </w:rPr>
        <w:instrText xml:space="preserve"> PAGEREF _Toc53434447 \h </w:instrText>
      </w:r>
      <w:r>
        <w:rPr>
          <w:szCs w:val="28"/>
        </w:rPr>
        <w:fldChar w:fldCharType="separate"/>
      </w:r>
      <w:r>
        <w:rPr>
          <w:szCs w:val="28"/>
        </w:rPr>
        <w:t>1</w:t>
      </w:r>
      <w:r>
        <w:rPr>
          <w:szCs w:val="28"/>
        </w:rPr>
        <w:fldChar w:fldCharType="end"/>
      </w:r>
      <w:r>
        <w:rPr>
          <w:szCs w:val="28"/>
        </w:rPr>
        <w:fldChar w:fldCharType="end"/>
      </w:r>
    </w:p>
    <w:p>
      <w:pPr>
        <w:pStyle w:val="12"/>
        <w:rPr>
          <w:rFonts w:cstheme="minorBidi"/>
          <w:b w:val="0"/>
          <w:bCs w:val="0"/>
          <w:szCs w:val="28"/>
        </w:rPr>
      </w:pPr>
      <w:r>
        <w:fldChar w:fldCharType="begin"/>
      </w:r>
      <w:r>
        <w:instrText xml:space="preserve"> HYPERLINK \l "_Toc53434448" </w:instrText>
      </w:r>
      <w:r>
        <w:fldChar w:fldCharType="separate"/>
      </w:r>
      <w:r>
        <w:rPr>
          <w:rStyle w:val="20"/>
          <w:szCs w:val="28"/>
        </w:rPr>
        <w:t>一、发展回顾及面临的形势</w:t>
      </w:r>
      <w:r>
        <w:rPr>
          <w:szCs w:val="28"/>
        </w:rPr>
        <w:tab/>
      </w:r>
      <w:r>
        <w:rPr>
          <w:szCs w:val="28"/>
        </w:rPr>
        <w:fldChar w:fldCharType="begin"/>
      </w:r>
      <w:r>
        <w:rPr>
          <w:szCs w:val="28"/>
        </w:rPr>
        <w:instrText xml:space="preserve"> PAGEREF _Toc53434448 \h </w:instrText>
      </w:r>
      <w:r>
        <w:rPr>
          <w:szCs w:val="28"/>
        </w:rPr>
        <w:fldChar w:fldCharType="separate"/>
      </w:r>
      <w:r>
        <w:rPr>
          <w:szCs w:val="28"/>
        </w:rPr>
        <w:t>2</w:t>
      </w:r>
      <w:r>
        <w:rPr>
          <w:szCs w:val="28"/>
        </w:rPr>
        <w:fldChar w:fldCharType="end"/>
      </w:r>
      <w:r>
        <w:rPr>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"_Toc53434449" </w:instrText>
      </w:r>
      <w:r>
        <w:fldChar w:fldCharType="separate"/>
      </w:r>
      <w:r>
        <w:rPr>
          <w:rStyle w:val="20"/>
          <w:rFonts w:ascii="仿宋" w:hAnsi="仿宋" w:eastAsia="仿宋"/>
          <w:b/>
          <w:bCs/>
          <w:sz w:val="28"/>
          <w:szCs w:val="28"/>
        </w:rPr>
        <w:t>（一）“十三五”时期主要工作及成效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_Toc53434449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"_Toc53434450" </w:instrText>
      </w:r>
      <w:r>
        <w:fldChar w:fldCharType="separate"/>
      </w:r>
      <w:r>
        <w:rPr>
          <w:rStyle w:val="20"/>
          <w:rFonts w:ascii="仿宋" w:hAnsi="仿宋" w:eastAsia="仿宋"/>
          <w:b/>
          <w:bCs/>
          <w:sz w:val="28"/>
          <w:szCs w:val="28"/>
        </w:rPr>
        <w:t>（二）存在的问题与短板</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_Toc53434450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"_Toc53434451" </w:instrText>
      </w:r>
      <w:r>
        <w:fldChar w:fldCharType="separate"/>
      </w:r>
      <w:r>
        <w:rPr>
          <w:rStyle w:val="20"/>
          <w:rFonts w:ascii="仿宋" w:hAnsi="仿宋" w:eastAsia="仿宋"/>
          <w:b/>
          <w:bCs/>
          <w:sz w:val="28"/>
          <w:szCs w:val="28"/>
        </w:rPr>
        <w:t>（三）面临的机遇和挑战</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_Toc53434451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cstheme="minorBidi"/>
          <w:b w:val="0"/>
          <w:bCs w:val="0"/>
          <w:szCs w:val="28"/>
        </w:rPr>
      </w:pPr>
      <w:r>
        <w:fldChar w:fldCharType="begin"/>
      </w:r>
      <w:r>
        <w:instrText xml:space="preserve"> HYPERLINK \l "_Toc53434452" </w:instrText>
      </w:r>
      <w:r>
        <w:fldChar w:fldCharType="separate"/>
      </w:r>
      <w:r>
        <w:rPr>
          <w:rStyle w:val="20"/>
          <w:szCs w:val="28"/>
        </w:rPr>
        <w:t>二、指导思想、基本原则和规划目标</w:t>
      </w:r>
      <w:r>
        <w:rPr>
          <w:szCs w:val="28"/>
        </w:rPr>
        <w:tab/>
      </w:r>
      <w:r>
        <w:rPr>
          <w:szCs w:val="28"/>
        </w:rPr>
        <w:fldChar w:fldCharType="begin"/>
      </w:r>
      <w:r>
        <w:rPr>
          <w:szCs w:val="28"/>
        </w:rPr>
        <w:instrText xml:space="preserve"> PAGEREF _Toc53434452 \h </w:instrText>
      </w:r>
      <w:r>
        <w:rPr>
          <w:szCs w:val="28"/>
        </w:rPr>
        <w:fldChar w:fldCharType="separate"/>
      </w:r>
      <w:r>
        <w:rPr>
          <w:szCs w:val="28"/>
        </w:rPr>
        <w:t>11</w:t>
      </w:r>
      <w:r>
        <w:rPr>
          <w:szCs w:val="28"/>
        </w:rPr>
        <w:fldChar w:fldCharType="end"/>
      </w:r>
      <w:r>
        <w:rPr>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"_Toc53434453" </w:instrText>
      </w:r>
      <w:r>
        <w:fldChar w:fldCharType="separate"/>
      </w:r>
      <w:r>
        <w:rPr>
          <w:rStyle w:val="20"/>
          <w:rFonts w:ascii="仿宋" w:hAnsi="仿宋" w:eastAsia="仿宋"/>
          <w:b/>
          <w:bCs/>
          <w:sz w:val="28"/>
          <w:szCs w:val="28"/>
        </w:rPr>
        <w:t>（一）指导思想</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_Toc53434453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"_Toc53434454" </w:instrText>
      </w:r>
      <w:r>
        <w:fldChar w:fldCharType="separate"/>
      </w:r>
      <w:r>
        <w:rPr>
          <w:rStyle w:val="20"/>
          <w:rFonts w:ascii="仿宋" w:hAnsi="仿宋" w:eastAsia="仿宋"/>
          <w:b/>
          <w:bCs/>
          <w:sz w:val="28"/>
          <w:szCs w:val="28"/>
        </w:rPr>
        <w:t>（二）基本原则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_Toc53434454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"_Toc53434455" </w:instrText>
      </w:r>
      <w:r>
        <w:fldChar w:fldCharType="separate"/>
      </w:r>
      <w:r>
        <w:rPr>
          <w:rStyle w:val="20"/>
          <w:rFonts w:ascii="仿宋" w:hAnsi="仿宋" w:eastAsia="仿宋"/>
          <w:b/>
          <w:bCs/>
          <w:sz w:val="28"/>
          <w:szCs w:val="28"/>
        </w:rPr>
        <w:t>（三）规划目标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_Toc53434455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2"/>
        <w:rPr>
          <w:rFonts w:cstheme="minorBidi"/>
          <w:b w:val="0"/>
          <w:bCs w:val="0"/>
          <w:szCs w:val="28"/>
        </w:rPr>
      </w:pPr>
      <w:r>
        <w:fldChar w:fldCharType="begin"/>
      </w:r>
      <w:r>
        <w:instrText xml:space="preserve"> HYPERLINK \l "_Toc53434456" </w:instrText>
      </w:r>
      <w:r>
        <w:fldChar w:fldCharType="separate"/>
      </w:r>
      <w:r>
        <w:rPr>
          <w:rStyle w:val="20"/>
          <w:szCs w:val="28"/>
        </w:rPr>
        <w:t>三、主要任务</w:t>
      </w:r>
      <w:r>
        <w:rPr>
          <w:szCs w:val="28"/>
        </w:rPr>
        <w:tab/>
      </w:r>
      <w:r>
        <w:rPr>
          <w:szCs w:val="28"/>
        </w:rPr>
        <w:fldChar w:fldCharType="begin"/>
      </w:r>
      <w:r>
        <w:rPr>
          <w:szCs w:val="28"/>
        </w:rPr>
        <w:instrText xml:space="preserve"> PAGEREF _Toc53434456 \h </w:instrText>
      </w:r>
      <w:r>
        <w:rPr>
          <w:szCs w:val="28"/>
        </w:rPr>
        <w:fldChar w:fldCharType="separate"/>
      </w:r>
      <w:r>
        <w:rPr>
          <w:szCs w:val="28"/>
        </w:rPr>
        <w:t>18</w:t>
      </w:r>
      <w:r>
        <w:rPr>
          <w:szCs w:val="28"/>
        </w:rPr>
        <w:fldChar w:fldCharType="end"/>
      </w:r>
      <w:r>
        <w:rPr>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"_Toc53434457" </w:instrText>
      </w:r>
      <w:r>
        <w:fldChar w:fldCharType="separate"/>
      </w:r>
      <w:r>
        <w:rPr>
          <w:rStyle w:val="20"/>
          <w:rFonts w:ascii="仿宋" w:hAnsi="仿宋" w:eastAsia="仿宋"/>
          <w:b/>
          <w:bCs/>
          <w:sz w:val="28"/>
          <w:szCs w:val="28"/>
        </w:rPr>
        <w:t>（一）强化应急体系建设，提升应急管理能力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_Toc53434457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"_Toc53434458" </w:instrText>
      </w:r>
      <w:r>
        <w:fldChar w:fldCharType="separate"/>
      </w:r>
      <w:r>
        <w:rPr>
          <w:rStyle w:val="20"/>
          <w:rFonts w:ascii="仿宋" w:hAnsi="仿宋" w:eastAsia="仿宋"/>
          <w:b/>
          <w:bCs/>
          <w:sz w:val="28"/>
          <w:szCs w:val="28"/>
        </w:rPr>
        <w:t>（二）强化综合防灾减灾能力建设，提升风险防控水平</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_Toc53434458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"_Toc53434459" </w:instrText>
      </w:r>
      <w:r>
        <w:fldChar w:fldCharType="separate"/>
      </w:r>
      <w:r>
        <w:rPr>
          <w:rStyle w:val="20"/>
          <w:rFonts w:ascii="仿宋" w:hAnsi="仿宋" w:eastAsia="仿宋"/>
          <w:b/>
          <w:bCs/>
          <w:sz w:val="28"/>
          <w:szCs w:val="28"/>
        </w:rPr>
        <w:t>（三）强化安全生产意识，落实安全生产责任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_Toc53434459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"_Toc53434460" </w:instrText>
      </w:r>
      <w:r>
        <w:fldChar w:fldCharType="separate"/>
      </w:r>
      <w:r>
        <w:rPr>
          <w:rStyle w:val="20"/>
          <w:rFonts w:ascii="仿宋" w:hAnsi="仿宋" w:eastAsia="仿宋"/>
          <w:b/>
          <w:bCs/>
          <w:sz w:val="28"/>
          <w:szCs w:val="28"/>
        </w:rPr>
        <w:t>（四）强化应急救援力量体系建设，提升应急救援能力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_Toc53434460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"_Toc53434461" </w:instrText>
      </w:r>
      <w:r>
        <w:fldChar w:fldCharType="separate"/>
      </w:r>
      <w:r>
        <w:rPr>
          <w:rStyle w:val="20"/>
          <w:rFonts w:ascii="仿宋" w:hAnsi="仿宋" w:eastAsia="仿宋"/>
          <w:b/>
          <w:bCs/>
          <w:sz w:val="28"/>
          <w:szCs w:val="28"/>
        </w:rPr>
        <w:t>（五）强化应急物资储备，增强应急保障能力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_Toc53434461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"_Toc53434462" </w:instrText>
      </w:r>
      <w:r>
        <w:fldChar w:fldCharType="separate"/>
      </w:r>
      <w:r>
        <w:rPr>
          <w:rStyle w:val="20"/>
          <w:rFonts w:ascii="仿宋" w:hAnsi="仿宋" w:eastAsia="仿宋"/>
          <w:b/>
          <w:bCs/>
          <w:sz w:val="28"/>
          <w:szCs w:val="28"/>
        </w:rPr>
        <w:t>（六）完善预案体系建设，提高应急处置能力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_Toc53434462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"_Toc53434463" </w:instrText>
      </w:r>
      <w:r>
        <w:fldChar w:fldCharType="separate"/>
      </w:r>
      <w:r>
        <w:rPr>
          <w:rStyle w:val="20"/>
          <w:rFonts w:ascii="仿宋" w:hAnsi="仿宋" w:eastAsia="仿宋"/>
          <w:b/>
          <w:bCs/>
          <w:sz w:val="28"/>
          <w:szCs w:val="28"/>
        </w:rPr>
        <w:t>（七）加强培训教育，提升应急干部队伍能力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_Toc53434463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"_Toc53434464" </w:instrText>
      </w:r>
      <w:r>
        <w:fldChar w:fldCharType="separate"/>
      </w:r>
      <w:r>
        <w:rPr>
          <w:rStyle w:val="20"/>
          <w:rFonts w:ascii="仿宋" w:hAnsi="仿宋" w:eastAsia="仿宋"/>
          <w:b/>
          <w:bCs/>
          <w:sz w:val="28"/>
          <w:szCs w:val="28"/>
        </w:rPr>
        <w:t>（八）增强协同意识，提升社会协同能力</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_Toc53434464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2"/>
        <w:rPr>
          <w:rFonts w:cstheme="minorBidi"/>
          <w:b w:val="0"/>
          <w:bCs w:val="0"/>
          <w:szCs w:val="28"/>
        </w:rPr>
      </w:pPr>
      <w:r>
        <w:fldChar w:fldCharType="begin"/>
      </w:r>
      <w:r>
        <w:instrText xml:space="preserve"> HYPERLINK \l "_Toc53434465" </w:instrText>
      </w:r>
      <w:r>
        <w:fldChar w:fldCharType="separate"/>
      </w:r>
      <w:r>
        <w:rPr>
          <w:rStyle w:val="20"/>
          <w:szCs w:val="28"/>
        </w:rPr>
        <w:t>四、重点举措</w:t>
      </w:r>
      <w:r>
        <w:rPr>
          <w:szCs w:val="28"/>
        </w:rPr>
        <w:tab/>
      </w:r>
      <w:r>
        <w:rPr>
          <w:szCs w:val="28"/>
        </w:rPr>
        <w:fldChar w:fldCharType="begin"/>
      </w:r>
      <w:r>
        <w:rPr>
          <w:szCs w:val="28"/>
        </w:rPr>
        <w:instrText xml:space="preserve"> PAGEREF _Toc53434465 \h </w:instrText>
      </w:r>
      <w:r>
        <w:rPr>
          <w:szCs w:val="28"/>
        </w:rPr>
        <w:fldChar w:fldCharType="separate"/>
      </w:r>
      <w:r>
        <w:rPr>
          <w:szCs w:val="28"/>
        </w:rPr>
        <w:t>34</w:t>
      </w:r>
      <w:r>
        <w:rPr>
          <w:szCs w:val="28"/>
        </w:rPr>
        <w:fldChar w:fldCharType="end"/>
      </w:r>
      <w:r>
        <w:rPr>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"_Toc53434466" </w:instrText>
      </w:r>
      <w:r>
        <w:fldChar w:fldCharType="separate"/>
      </w:r>
      <w:r>
        <w:rPr>
          <w:rStyle w:val="20"/>
          <w:rFonts w:ascii="仿宋" w:hAnsi="仿宋" w:eastAsia="仿宋"/>
          <w:b/>
          <w:bCs/>
          <w:sz w:val="28"/>
          <w:szCs w:val="28"/>
        </w:rPr>
        <w:t>（一）深化安全生产信用体系建设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_Toc53434466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"_Toc53434467" </w:instrText>
      </w:r>
      <w:r>
        <w:fldChar w:fldCharType="separate"/>
      </w:r>
      <w:r>
        <w:rPr>
          <w:rStyle w:val="20"/>
          <w:rFonts w:ascii="仿宋" w:hAnsi="仿宋" w:eastAsia="仿宋"/>
          <w:b/>
          <w:bCs/>
          <w:sz w:val="28"/>
          <w:szCs w:val="28"/>
        </w:rPr>
        <w:t>（二）加快推进安全生产责任险</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_Toc53434467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"_Toc53434468" </w:instrText>
      </w:r>
      <w:r>
        <w:fldChar w:fldCharType="separate"/>
      </w:r>
      <w:r>
        <w:rPr>
          <w:rStyle w:val="20"/>
          <w:rFonts w:ascii="仿宋" w:hAnsi="仿宋" w:eastAsia="仿宋"/>
          <w:b/>
          <w:bCs/>
          <w:sz w:val="28"/>
          <w:szCs w:val="28"/>
        </w:rPr>
        <w:t>（三）拓宽应急管理资金筹措渠道</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_Toc53434468 \h </w:instrText>
      </w:r>
      <w:r>
        <w:rPr>
          <w:rFonts w:ascii="仿宋" w:hAnsi="仿宋" w:eastAsia="仿宋"/>
          <w:sz w:val="28"/>
          <w:szCs w:val="28"/>
        </w:rPr>
        <w:fldChar w:fldCharType="separate"/>
      </w:r>
      <w:r>
        <w:rPr>
          <w:rFonts w:ascii="仿宋" w:hAnsi="仿宋" w:eastAsia="仿宋"/>
          <w:sz w:val="28"/>
          <w:szCs w:val="28"/>
        </w:rPr>
        <w:t>35</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"_Toc53434469" </w:instrText>
      </w:r>
      <w:r>
        <w:fldChar w:fldCharType="separate"/>
      </w:r>
      <w:r>
        <w:rPr>
          <w:rStyle w:val="20"/>
          <w:rFonts w:ascii="仿宋" w:hAnsi="仿宋" w:eastAsia="仿宋"/>
          <w:b/>
          <w:bCs/>
          <w:sz w:val="28"/>
          <w:szCs w:val="28"/>
        </w:rPr>
        <w:t>（四）引入第三方安全服务机构</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_Toc53434469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"_Toc53434470" </w:instrText>
      </w:r>
      <w:r>
        <w:fldChar w:fldCharType="separate"/>
      </w:r>
      <w:r>
        <w:rPr>
          <w:rStyle w:val="20"/>
          <w:rFonts w:ascii="仿宋" w:hAnsi="仿宋" w:eastAsia="仿宋"/>
          <w:b/>
          <w:bCs/>
          <w:sz w:val="28"/>
          <w:szCs w:val="28"/>
        </w:rPr>
        <w:t>（五）积极争取成为智慧应急小区/小镇试点</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_Toc53434470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2"/>
        <w:rPr>
          <w:rFonts w:cstheme="minorBidi"/>
          <w:b w:val="0"/>
          <w:bCs w:val="0"/>
          <w:szCs w:val="28"/>
        </w:rPr>
      </w:pPr>
      <w:r>
        <w:fldChar w:fldCharType="begin"/>
      </w:r>
      <w:r>
        <w:instrText xml:space="preserve"> HYPERLINK \l "_Toc53434471" </w:instrText>
      </w:r>
      <w:r>
        <w:fldChar w:fldCharType="separate"/>
      </w:r>
      <w:r>
        <w:rPr>
          <w:rStyle w:val="20"/>
          <w:szCs w:val="28"/>
        </w:rPr>
        <w:t>五、重点工程</w:t>
      </w:r>
      <w:r>
        <w:rPr>
          <w:szCs w:val="28"/>
        </w:rPr>
        <w:tab/>
      </w:r>
      <w:r>
        <w:rPr>
          <w:szCs w:val="28"/>
        </w:rPr>
        <w:fldChar w:fldCharType="begin"/>
      </w:r>
      <w:r>
        <w:rPr>
          <w:szCs w:val="28"/>
        </w:rPr>
        <w:instrText xml:space="preserve"> PAGEREF _Toc53434471 \h </w:instrText>
      </w:r>
      <w:r>
        <w:rPr>
          <w:szCs w:val="28"/>
        </w:rPr>
        <w:fldChar w:fldCharType="separate"/>
      </w:r>
      <w:r>
        <w:rPr>
          <w:szCs w:val="28"/>
        </w:rPr>
        <w:t>37</w:t>
      </w:r>
      <w:r>
        <w:rPr>
          <w:szCs w:val="28"/>
        </w:rPr>
        <w:fldChar w:fldCharType="end"/>
      </w:r>
      <w:r>
        <w:rPr>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"_Toc53434472" </w:instrText>
      </w:r>
      <w:r>
        <w:fldChar w:fldCharType="separate"/>
      </w:r>
      <w:r>
        <w:rPr>
          <w:rStyle w:val="20"/>
          <w:rFonts w:ascii="仿宋" w:hAnsi="仿宋" w:eastAsia="仿宋"/>
          <w:b/>
          <w:bCs/>
          <w:sz w:val="28"/>
          <w:szCs w:val="28"/>
        </w:rPr>
        <w:t>（一）应急救援保障基础设施建设工程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_Toc53434472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"_Toc53434473" </w:instrText>
      </w:r>
      <w:r>
        <w:fldChar w:fldCharType="separate"/>
      </w:r>
      <w:r>
        <w:rPr>
          <w:rStyle w:val="20"/>
          <w:rFonts w:ascii="仿宋" w:hAnsi="仿宋" w:eastAsia="仿宋"/>
          <w:b/>
          <w:bCs/>
          <w:sz w:val="28"/>
          <w:szCs w:val="28"/>
        </w:rPr>
        <w:t>（二）应急救援力量建设工程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_Toc53434473 \h </w:instrText>
      </w:r>
      <w:r>
        <w:rPr>
          <w:rFonts w:ascii="仿宋" w:hAnsi="仿宋" w:eastAsia="仿宋"/>
          <w:sz w:val="28"/>
          <w:szCs w:val="28"/>
        </w:rPr>
        <w:fldChar w:fldCharType="separate"/>
      </w:r>
      <w:r>
        <w:rPr>
          <w:rFonts w:ascii="仿宋" w:hAnsi="仿宋" w:eastAsia="仿宋"/>
          <w:sz w:val="28"/>
          <w:szCs w:val="28"/>
        </w:rPr>
        <w:t>37</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"_Toc53434474" </w:instrText>
      </w:r>
      <w:r>
        <w:fldChar w:fldCharType="separate"/>
      </w:r>
      <w:r>
        <w:rPr>
          <w:rStyle w:val="20"/>
          <w:rFonts w:ascii="仿宋" w:hAnsi="仿宋" w:eastAsia="仿宋"/>
          <w:b/>
          <w:bCs/>
          <w:sz w:val="28"/>
          <w:szCs w:val="28"/>
        </w:rPr>
        <w:t>（三）应急管理科技信息化建设工程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_Toc53434474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"_Toc53434475" </w:instrText>
      </w:r>
      <w:r>
        <w:fldChar w:fldCharType="separate"/>
      </w:r>
      <w:r>
        <w:rPr>
          <w:rStyle w:val="20"/>
          <w:rFonts w:ascii="仿宋" w:hAnsi="仿宋" w:eastAsia="仿宋"/>
          <w:b/>
          <w:bCs/>
          <w:sz w:val="28"/>
          <w:szCs w:val="28"/>
        </w:rPr>
        <w:t>（四）城乡防灾减灾能力提升工程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_Toc53434475 \h </w:instrText>
      </w:r>
      <w:r>
        <w:rPr>
          <w:rFonts w:ascii="仿宋" w:hAnsi="仿宋" w:eastAsia="仿宋"/>
          <w:sz w:val="28"/>
          <w:szCs w:val="28"/>
        </w:rPr>
        <w:fldChar w:fldCharType="separate"/>
      </w:r>
      <w:r>
        <w:rPr>
          <w:rFonts w:ascii="仿宋" w:hAnsi="仿宋" w:eastAsia="仿宋"/>
          <w:sz w:val="28"/>
          <w:szCs w:val="28"/>
        </w:rPr>
        <w:t>39</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"_Toc53434476" </w:instrText>
      </w:r>
      <w:r>
        <w:fldChar w:fldCharType="separate"/>
      </w:r>
      <w:r>
        <w:rPr>
          <w:rStyle w:val="20"/>
          <w:rFonts w:ascii="仿宋" w:hAnsi="仿宋" w:eastAsia="仿宋"/>
          <w:b/>
          <w:bCs/>
          <w:sz w:val="28"/>
          <w:szCs w:val="28"/>
        </w:rPr>
        <w:t>（五）综合减灾示范社区建设工程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_Toc53434476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"_Toc53434477" </w:instrText>
      </w:r>
      <w:r>
        <w:fldChar w:fldCharType="separate"/>
      </w:r>
      <w:r>
        <w:rPr>
          <w:rStyle w:val="20"/>
          <w:rFonts w:ascii="仿宋" w:hAnsi="仿宋" w:eastAsia="仿宋"/>
          <w:b/>
          <w:bCs/>
          <w:sz w:val="28"/>
          <w:szCs w:val="28"/>
        </w:rPr>
        <w:t>（六）应急管理能力提升工程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_Toc53434477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12"/>
        <w:rPr>
          <w:rFonts w:cstheme="minorBidi"/>
          <w:b w:val="0"/>
          <w:bCs w:val="0"/>
          <w:szCs w:val="28"/>
        </w:rPr>
      </w:pPr>
      <w:r>
        <w:fldChar w:fldCharType="begin"/>
      </w:r>
      <w:r>
        <w:instrText xml:space="preserve"> HYPERLINK \l "_Toc53434478" </w:instrText>
      </w:r>
      <w:r>
        <w:fldChar w:fldCharType="separate"/>
      </w:r>
      <w:r>
        <w:rPr>
          <w:rStyle w:val="20"/>
          <w:szCs w:val="28"/>
        </w:rPr>
        <w:t>六、保障措施</w:t>
      </w:r>
      <w:r>
        <w:rPr>
          <w:szCs w:val="28"/>
        </w:rPr>
        <w:tab/>
      </w:r>
      <w:r>
        <w:rPr>
          <w:szCs w:val="28"/>
        </w:rPr>
        <w:fldChar w:fldCharType="begin"/>
      </w:r>
      <w:r>
        <w:rPr>
          <w:szCs w:val="28"/>
        </w:rPr>
        <w:instrText xml:space="preserve"> PAGEREF _Toc53434478 \h </w:instrText>
      </w:r>
      <w:r>
        <w:rPr>
          <w:szCs w:val="28"/>
        </w:rPr>
        <w:fldChar w:fldCharType="separate"/>
      </w:r>
      <w:r>
        <w:rPr>
          <w:szCs w:val="28"/>
        </w:rPr>
        <w:t>42</w:t>
      </w:r>
      <w:r>
        <w:rPr>
          <w:szCs w:val="28"/>
        </w:rPr>
        <w:fldChar w:fldCharType="end"/>
      </w:r>
      <w:r>
        <w:rPr>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"_Toc53434479" </w:instrText>
      </w:r>
      <w:r>
        <w:fldChar w:fldCharType="separate"/>
      </w:r>
      <w:r>
        <w:rPr>
          <w:rStyle w:val="20"/>
          <w:rFonts w:ascii="仿宋" w:hAnsi="仿宋" w:eastAsia="仿宋"/>
          <w:b/>
          <w:bCs/>
          <w:sz w:val="28"/>
          <w:szCs w:val="28"/>
        </w:rPr>
        <w:t>（一）加强组织领导</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_Toc53434479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"_Toc53434480" </w:instrText>
      </w:r>
      <w:r>
        <w:fldChar w:fldCharType="separate"/>
      </w:r>
      <w:r>
        <w:rPr>
          <w:rStyle w:val="20"/>
          <w:rFonts w:ascii="仿宋" w:hAnsi="仿宋" w:eastAsia="仿宋"/>
          <w:b/>
          <w:bCs/>
          <w:sz w:val="28"/>
          <w:szCs w:val="28"/>
        </w:rPr>
        <w:t>（二）加强法律保障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_Toc53434480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"_Toc53434481" </w:instrText>
      </w:r>
      <w:r>
        <w:fldChar w:fldCharType="separate"/>
      </w:r>
      <w:r>
        <w:rPr>
          <w:rStyle w:val="20"/>
          <w:rFonts w:ascii="仿宋" w:hAnsi="仿宋" w:eastAsia="仿宋"/>
          <w:b/>
          <w:bCs/>
          <w:sz w:val="28"/>
          <w:szCs w:val="28"/>
        </w:rPr>
        <w:t>（三）加强贯彻落实</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_Toc53434481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"_Toc53434482" </w:instrText>
      </w:r>
      <w:r>
        <w:fldChar w:fldCharType="separate"/>
      </w:r>
      <w:r>
        <w:rPr>
          <w:rStyle w:val="20"/>
          <w:rFonts w:ascii="仿宋" w:hAnsi="仿宋" w:eastAsia="仿宋"/>
          <w:b/>
          <w:bCs/>
          <w:sz w:val="28"/>
          <w:szCs w:val="28"/>
        </w:rPr>
        <w:t>（四）加大</w:t>
      </w:r>
      <w:r>
        <w:rPr>
          <w:rStyle w:val="20"/>
          <w:rFonts w:ascii="仿宋" w:hAnsi="仿宋" w:eastAsia="仿宋" w:cs="仿宋_GB2312"/>
          <w:b/>
          <w:bCs/>
          <w:sz w:val="28"/>
          <w:szCs w:val="28"/>
        </w:rPr>
        <w:t>资金</w:t>
      </w:r>
      <w:r>
        <w:rPr>
          <w:rStyle w:val="20"/>
          <w:rFonts w:ascii="仿宋" w:hAnsi="仿宋" w:eastAsia="仿宋"/>
          <w:b/>
          <w:bCs/>
          <w:sz w:val="28"/>
          <w:szCs w:val="28"/>
        </w:rPr>
        <w:t>投入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_Toc53434482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仿宋" w:hAnsi="仿宋" w:eastAsia="仿宋" w:cstheme="minorBidi"/>
          <w:sz w:val="28"/>
          <w:szCs w:val="28"/>
        </w:rPr>
      </w:pPr>
      <w:r>
        <w:fldChar w:fldCharType="begin"/>
      </w:r>
      <w:r>
        <w:instrText xml:space="preserve"> HYPERLINK \l "_Toc53434483" </w:instrText>
      </w:r>
      <w:r>
        <w:fldChar w:fldCharType="separate"/>
      </w:r>
      <w:r>
        <w:rPr>
          <w:rStyle w:val="20"/>
          <w:rFonts w:ascii="仿宋" w:hAnsi="仿宋" w:eastAsia="仿宋"/>
          <w:b/>
          <w:bCs/>
          <w:sz w:val="28"/>
          <w:szCs w:val="28"/>
        </w:rPr>
        <w:t>（五）加强评估考核</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_Toc53434483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3"/>
        <w:tabs>
          <w:tab w:val="right" w:leader="dot" w:pos="8296"/>
        </w:tabs>
        <w:rPr>
          <w:rFonts w:ascii="华文楷体" w:hAnsi="华文楷体" w:eastAsia="华文楷体" w:cstheme="minorBidi"/>
          <w:sz w:val="24"/>
          <w:szCs w:val="24"/>
        </w:rPr>
      </w:pPr>
      <w:r>
        <w:fldChar w:fldCharType="begin"/>
      </w:r>
      <w:r>
        <w:instrText xml:space="preserve"> HYPERLINK \l "_Toc53434484" </w:instrText>
      </w:r>
      <w:r>
        <w:fldChar w:fldCharType="separate"/>
      </w:r>
      <w:r>
        <w:rPr>
          <w:rStyle w:val="20"/>
          <w:rFonts w:ascii="仿宋" w:hAnsi="仿宋" w:eastAsia="仿宋"/>
          <w:b/>
          <w:bCs/>
          <w:sz w:val="28"/>
          <w:szCs w:val="28"/>
        </w:rPr>
        <w:t>（六）加强合作交流</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_Toc53434484 \h </w:instrText>
      </w:r>
      <w:r>
        <w:rPr>
          <w:rFonts w:ascii="仿宋" w:hAnsi="仿宋" w:eastAsia="仿宋"/>
          <w:sz w:val="28"/>
          <w:szCs w:val="28"/>
        </w:rPr>
        <w:fldChar w:fldCharType="separate"/>
      </w:r>
      <w:r>
        <w:rPr>
          <w:rFonts w:ascii="仿宋" w:hAnsi="仿宋" w:eastAsia="仿宋"/>
          <w:sz w:val="28"/>
          <w:szCs w:val="28"/>
        </w:rPr>
        <w:t>44</w:t>
      </w:r>
      <w:r>
        <w:rPr>
          <w:rFonts w:ascii="仿宋" w:hAnsi="仿宋" w:eastAsia="仿宋"/>
          <w:sz w:val="28"/>
          <w:szCs w:val="28"/>
        </w:rPr>
        <w:fldChar w:fldCharType="end"/>
      </w:r>
      <w:r>
        <w:rPr>
          <w:rFonts w:ascii="仿宋" w:hAnsi="仿宋" w:eastAsia="仿宋"/>
          <w:sz w:val="28"/>
          <w:szCs w:val="28"/>
        </w:rPr>
        <w:fldChar w:fldCharType="end"/>
      </w:r>
    </w:p>
    <w:p>
      <w:pPr>
        <w:spacing w:line="560" w:lineRule="exact"/>
        <w:jc w:val="center"/>
        <w:rPr>
          <w:rFonts w:ascii="黑体" w:hAnsi="黑体" w:eastAsia="黑体" w:cs="方正小标宋简体"/>
          <w:bCs/>
          <w:sz w:val="24"/>
          <w:szCs w:val="24"/>
        </w:rPr>
      </w:pPr>
      <w:r>
        <w:rPr>
          <w:rFonts w:ascii="黑体" w:hAnsi="黑体" w:eastAsia="黑体" w:cs="方正小标宋简体"/>
          <w:bCs/>
          <w:sz w:val="24"/>
          <w:szCs w:val="24"/>
        </w:rPr>
        <w:fldChar w:fldCharType="end"/>
      </w:r>
    </w:p>
    <w:p>
      <w:pPr>
        <w:widowControl/>
        <w:jc w:val="left"/>
        <w:rPr>
          <w:rFonts w:ascii="黑体" w:hAnsi="黑体" w:eastAsia="黑体" w:cs="方正小标宋简体"/>
          <w:bCs/>
          <w:sz w:val="44"/>
          <w:szCs w:val="44"/>
        </w:rPr>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pPr>
    </w:p>
    <w:p>
      <w:pPr>
        <w:spacing w:line="560" w:lineRule="exact"/>
        <w:rPr>
          <w:rFonts w:ascii="黑体" w:hAnsi="黑体" w:eastAsia="黑体" w:cs="方正小标宋简体"/>
          <w:bCs/>
          <w:sz w:val="44"/>
          <w:szCs w:val="44"/>
        </w:rPr>
      </w:pPr>
    </w:p>
    <w:p>
      <w:pPr>
        <w:pStyle w:val="2"/>
      </w:pPr>
    </w:p>
    <w:p/>
    <w:p>
      <w:pPr>
        <w:pStyle w:val="2"/>
      </w:pPr>
    </w:p>
    <w:p>
      <w:pPr>
        <w:spacing w:line="720" w:lineRule="exact"/>
        <w:ind w:firstLine="723" w:firstLineChars="200"/>
        <w:jc w:val="center"/>
        <w:outlineLvl w:val="0"/>
        <w:rPr>
          <w:rFonts w:ascii="仿宋" w:hAnsi="仿宋" w:eastAsia="仿宋"/>
          <w:b/>
          <w:bCs/>
          <w:sz w:val="36"/>
          <w:szCs w:val="36"/>
        </w:rPr>
      </w:pPr>
      <w:bookmarkStart w:id="0" w:name="_Toc53434447"/>
      <w:r>
        <w:rPr>
          <w:rFonts w:hint="eastAsia" w:ascii="仿宋" w:hAnsi="仿宋" w:eastAsia="仿宋"/>
          <w:b/>
          <w:bCs/>
          <w:sz w:val="36"/>
          <w:szCs w:val="36"/>
        </w:rPr>
        <w:t>前 言</w:t>
      </w:r>
      <w:bookmarkEnd w:id="0"/>
    </w:p>
    <w:p>
      <w:pPr>
        <w:spacing w:line="720" w:lineRule="exact"/>
        <w:ind w:firstLine="640" w:firstLineChars="200"/>
        <w:rPr>
          <w:rFonts w:ascii="仿宋" w:hAnsi="仿宋" w:eastAsia="仿宋"/>
          <w:bCs/>
          <w:sz w:val="32"/>
          <w:szCs w:val="32"/>
        </w:rPr>
      </w:pPr>
      <w:r>
        <w:rPr>
          <w:rFonts w:hint="eastAsia" w:ascii="仿宋" w:hAnsi="仿宋" w:eastAsia="仿宋"/>
          <w:bCs/>
          <w:sz w:val="32"/>
          <w:szCs w:val="32"/>
        </w:rPr>
        <w:t>“十四五”时期（2021-2025 年），是我国在高水平建成小康社会基础上开启社会主义现代化强国建设新征程的第一个五年规划期，同时也是新组建的应急管理机构全面推进形成统一指挥、专常兼备、反应灵敏、上下联动、平战结合的应急管理体制的重要决胜时期。科学编制《长春市朝阳区应急管理“十四五”规划》（以下简称《规划》） 是贯彻落实吉林省委省政府、长春市委市政府以及朝阳区委区政府重大战略部署的重要举措，也是新时代我区应急管理工作发展的迫切需要。《规划》的编制，将在我区应急管理工作中发挥引领、指导和支撑等重要作用。</w:t>
      </w:r>
    </w:p>
    <w:p>
      <w:pPr>
        <w:spacing w:line="720" w:lineRule="exact"/>
        <w:ind w:firstLine="640" w:firstLineChars="200"/>
        <w:rPr>
          <w:rFonts w:ascii="仿宋" w:hAnsi="仿宋" w:eastAsia="仿宋"/>
          <w:bCs/>
          <w:sz w:val="32"/>
          <w:szCs w:val="32"/>
        </w:rPr>
      </w:pPr>
      <w:r>
        <w:rPr>
          <w:rFonts w:hint="eastAsia" w:ascii="仿宋" w:hAnsi="仿宋" w:eastAsia="仿宋"/>
          <w:bCs/>
          <w:sz w:val="32"/>
          <w:szCs w:val="32"/>
        </w:rPr>
        <w:t>《规划》是在全面、系统地收集全区应急管理工作现状、经济社会发展资料及相关规划的基础上，结合本区实际和发展目标编制而成，是本区“十四五”应急管理工作的指导性文件，是区政府各职能部门及镇（街道办事处）开展应急管理工作的主要依据，适用于全区范围。</w:t>
      </w:r>
    </w:p>
    <w:p>
      <w:pPr>
        <w:spacing w:line="720" w:lineRule="exact"/>
        <w:ind w:firstLine="640" w:firstLineChars="200"/>
        <w:rPr>
          <w:rFonts w:ascii="仿宋" w:hAnsi="仿宋" w:eastAsia="仿宋"/>
          <w:bCs/>
          <w:sz w:val="32"/>
          <w:szCs w:val="32"/>
        </w:rPr>
      </w:pPr>
      <w:r>
        <w:rPr>
          <w:rFonts w:ascii="仿宋" w:hAnsi="仿宋" w:eastAsia="仿宋"/>
          <w:bCs/>
          <w:sz w:val="32"/>
          <w:szCs w:val="32"/>
        </w:rPr>
        <w:t>《规划》基准年为2020年，规划期为2021～2025年。</w:t>
      </w:r>
    </w:p>
    <w:p>
      <w:pPr>
        <w:spacing w:line="720" w:lineRule="exact"/>
        <w:ind w:firstLine="640" w:firstLineChars="200"/>
        <w:rPr>
          <w:rFonts w:ascii="仿宋" w:hAnsi="仿宋" w:eastAsia="仿宋"/>
          <w:bCs/>
          <w:sz w:val="32"/>
          <w:szCs w:val="32"/>
        </w:rPr>
      </w:pPr>
      <w:r>
        <w:rPr>
          <w:rFonts w:ascii="仿宋" w:hAnsi="仿宋" w:eastAsia="仿宋"/>
          <w:bCs/>
          <w:sz w:val="32"/>
          <w:szCs w:val="32"/>
        </w:rPr>
        <w:t>《规划》由</w:t>
      </w:r>
      <w:r>
        <w:rPr>
          <w:rFonts w:hint="eastAsia" w:ascii="仿宋" w:hAnsi="仿宋" w:eastAsia="仿宋"/>
          <w:bCs/>
          <w:sz w:val="32"/>
          <w:szCs w:val="32"/>
        </w:rPr>
        <w:t>长春市朝阳区应急管理局</w:t>
      </w:r>
      <w:r>
        <w:rPr>
          <w:rFonts w:ascii="仿宋" w:hAnsi="仿宋" w:eastAsia="仿宋"/>
          <w:bCs/>
          <w:sz w:val="32"/>
          <w:szCs w:val="32"/>
        </w:rPr>
        <w:t>负责解释。</w:t>
      </w:r>
    </w:p>
    <w:p>
      <w:pPr>
        <w:pStyle w:val="2"/>
        <w:spacing w:line="720" w:lineRule="exact"/>
        <w:rPr>
          <w:rFonts w:ascii="仿宋" w:hAnsi="仿宋" w:eastAsia="仿宋"/>
        </w:rPr>
      </w:pPr>
    </w:p>
    <w:p>
      <w:pPr>
        <w:spacing w:line="660" w:lineRule="exact"/>
        <w:ind w:firstLine="723" w:firstLineChars="200"/>
        <w:jc w:val="center"/>
        <w:outlineLvl w:val="0"/>
        <w:rPr>
          <w:rFonts w:ascii="仿宋" w:hAnsi="仿宋" w:eastAsia="仿宋"/>
          <w:b/>
          <w:bCs/>
          <w:sz w:val="36"/>
          <w:szCs w:val="36"/>
        </w:rPr>
      </w:pPr>
      <w:bookmarkStart w:id="1" w:name="_Toc53434448"/>
      <w:bookmarkStart w:id="2" w:name="_Hlk52872474"/>
      <w:r>
        <w:rPr>
          <w:rFonts w:ascii="仿宋" w:hAnsi="仿宋" w:eastAsia="仿宋"/>
          <w:b/>
          <w:bCs/>
          <w:sz w:val="36"/>
          <w:szCs w:val="36"/>
        </w:rPr>
        <w:t>一、</w:t>
      </w:r>
      <w:r>
        <w:rPr>
          <w:rFonts w:hint="eastAsia" w:ascii="仿宋" w:hAnsi="仿宋" w:eastAsia="仿宋"/>
          <w:b/>
          <w:bCs/>
          <w:sz w:val="36"/>
          <w:szCs w:val="36"/>
        </w:rPr>
        <w:t>发展回顾及</w:t>
      </w:r>
      <w:r>
        <w:rPr>
          <w:rFonts w:ascii="仿宋" w:hAnsi="仿宋" w:eastAsia="仿宋"/>
          <w:b/>
          <w:bCs/>
          <w:sz w:val="36"/>
          <w:szCs w:val="36"/>
        </w:rPr>
        <w:t>面临的</w:t>
      </w:r>
      <w:r>
        <w:rPr>
          <w:rFonts w:hint="eastAsia" w:ascii="仿宋" w:hAnsi="仿宋" w:eastAsia="仿宋"/>
          <w:b/>
          <w:bCs/>
          <w:sz w:val="36"/>
          <w:szCs w:val="36"/>
        </w:rPr>
        <w:t>形势</w:t>
      </w:r>
      <w:bookmarkEnd w:id="1"/>
    </w:p>
    <w:bookmarkEnd w:id="2"/>
    <w:p>
      <w:pPr>
        <w:keepNext/>
        <w:keepLines/>
        <w:spacing w:before="60" w:after="60" w:line="660" w:lineRule="exact"/>
        <w:outlineLvl w:val="1"/>
        <w:rPr>
          <w:rFonts w:ascii="仿宋" w:hAnsi="仿宋" w:eastAsia="仿宋"/>
          <w:b/>
          <w:bCs/>
          <w:sz w:val="32"/>
          <w:szCs w:val="32"/>
        </w:rPr>
      </w:pPr>
      <w:bookmarkStart w:id="3" w:name="_Toc53434449"/>
      <w:r>
        <w:rPr>
          <w:rFonts w:hint="eastAsia" w:ascii="仿宋" w:hAnsi="仿宋" w:eastAsia="仿宋"/>
          <w:b/>
          <w:bCs/>
          <w:sz w:val="32"/>
          <w:szCs w:val="32"/>
        </w:rPr>
        <w:t>（一）“十三五”时期主要工作及成效</w:t>
      </w:r>
      <w:bookmarkEnd w:id="3"/>
    </w:p>
    <w:p>
      <w:pPr>
        <w:spacing w:line="660" w:lineRule="exact"/>
        <w:ind w:firstLine="643" w:firstLineChars="201"/>
        <w:rPr>
          <w:rFonts w:ascii="仿宋" w:hAnsi="仿宋" w:eastAsia="仿宋"/>
          <w:bCs/>
          <w:sz w:val="32"/>
          <w:szCs w:val="32"/>
        </w:rPr>
      </w:pPr>
      <w:r>
        <w:rPr>
          <w:rFonts w:hint="eastAsia" w:ascii="仿宋" w:hAnsi="仿宋" w:eastAsia="仿宋"/>
          <w:bCs/>
          <w:sz w:val="32"/>
          <w:szCs w:val="32"/>
        </w:rPr>
        <w:t>“十三五”时期，长春市朝阳区始终坚持以习近平新时代中国特色社会主义思想为指导，深入贯彻党的十九大和十九届二中、三中、四中全会精神，牢固树立“红线意识”，积极推进应急管理体系和能力现代化，坚决遏制重特大事故，事故起数、死亡人数均有下降，不断加大安全生产、防灾减灾防范及治理力度，为朝阳区全面振兴全方位振兴创造良好稳定的安全环境。具体表现为：</w:t>
      </w:r>
    </w:p>
    <w:p>
      <w:pPr>
        <w:pStyle w:val="14"/>
        <w:spacing w:before="0" w:beforeAutospacing="0" w:after="0" w:afterAutospacing="0" w:line="660" w:lineRule="exact"/>
        <w:ind w:firstLine="640"/>
        <w:jc w:val="both"/>
        <w:rPr>
          <w:rFonts w:ascii="仿宋" w:hAnsi="仿宋" w:eastAsia="仿宋" w:cs="Times New Roman"/>
          <w:bCs/>
          <w:kern w:val="2"/>
          <w:sz w:val="32"/>
          <w:szCs w:val="32"/>
        </w:rPr>
      </w:pPr>
      <w:r>
        <w:rPr>
          <w:rFonts w:hint="eastAsia" w:ascii="仿宋" w:hAnsi="仿宋" w:eastAsia="仿宋" w:cs="Times New Roman"/>
          <w:b/>
          <w:kern w:val="2"/>
          <w:sz w:val="32"/>
          <w:szCs w:val="32"/>
        </w:rPr>
        <w:t>1.应急管理改革迈出坚实步伐。</w:t>
      </w:r>
      <w:r>
        <w:rPr>
          <w:rFonts w:hint="eastAsia" w:ascii="仿宋" w:hAnsi="仿宋" w:eastAsia="仿宋" w:cs="Times New Roman"/>
          <w:bCs/>
          <w:kern w:val="2"/>
          <w:sz w:val="32"/>
          <w:szCs w:val="32"/>
        </w:rPr>
        <w:t>机构改革以来，区应急管理局按照国家总体部署，坚定信念，强化忧患意识，明确目标任务，始终</w:t>
      </w:r>
      <w:r>
        <w:rPr>
          <w:rFonts w:ascii="仿宋" w:hAnsi="仿宋" w:eastAsia="仿宋" w:cs="Times New Roman"/>
          <w:bCs/>
          <w:kern w:val="2"/>
          <w:sz w:val="32"/>
          <w:szCs w:val="32"/>
        </w:rPr>
        <w:t>坚持以习近平新时代中国特色社会主义思想为指引，自觉把应急管理工作摆进“五位一体”总体布局和“四个全面”战略布局中谋划推进，加快推动应急管理工作转型升级、换道超车，实现跨越式发展</w:t>
      </w:r>
      <w:r>
        <w:rPr>
          <w:rFonts w:hint="eastAsia" w:ascii="仿宋" w:hAnsi="仿宋" w:eastAsia="仿宋" w:cs="Times New Roman"/>
          <w:bCs/>
          <w:kern w:val="2"/>
          <w:sz w:val="32"/>
          <w:szCs w:val="32"/>
        </w:rPr>
        <w:t>。</w:t>
      </w:r>
      <w:r>
        <w:rPr>
          <w:rFonts w:ascii="仿宋" w:hAnsi="仿宋" w:eastAsia="仿宋" w:cs="Times New Roman"/>
          <w:bCs/>
          <w:kern w:val="2"/>
          <w:sz w:val="32"/>
          <w:szCs w:val="32"/>
        </w:rPr>
        <w:t>把体制机制建设摆在突出位置，注重处理好“统”和“分”、“防”和“救”的关系，抓紧明确切割与相关部门的职责边界，形成制度化。完善应急管理部门统筹、相关部门参加的会商研判和应急联动机制，健全“扁平化”组织指挥、防范救援救灾“一体化”运作、信息发布“一个窗口”对外等一整套行之有效的应急救援处置机制，增强科学性</w:t>
      </w:r>
      <w:r>
        <w:rPr>
          <w:rFonts w:hint="eastAsia" w:ascii="仿宋" w:hAnsi="仿宋" w:eastAsia="仿宋" w:cs="Times New Roman"/>
          <w:bCs/>
          <w:kern w:val="2"/>
          <w:sz w:val="32"/>
          <w:szCs w:val="32"/>
        </w:rPr>
        <w:t>和</w:t>
      </w:r>
      <w:r>
        <w:rPr>
          <w:rFonts w:ascii="仿宋" w:hAnsi="仿宋" w:eastAsia="仿宋" w:cs="Times New Roman"/>
          <w:bCs/>
          <w:kern w:val="2"/>
          <w:sz w:val="32"/>
          <w:szCs w:val="32"/>
        </w:rPr>
        <w:t>实效性。以创新的思路、改革的办法和有力的举措奋力破解难题，逐步厘清应急管理横向及纵向各职能部门之间的关系</w:t>
      </w:r>
      <w:r>
        <w:rPr>
          <w:rFonts w:hint="eastAsia" w:ascii="仿宋" w:hAnsi="仿宋" w:eastAsia="仿宋" w:cs="Times New Roman"/>
          <w:bCs/>
          <w:kern w:val="2"/>
          <w:sz w:val="32"/>
          <w:szCs w:val="32"/>
        </w:rPr>
        <w:t>，明确出</w:t>
      </w:r>
      <w:r>
        <w:rPr>
          <w:rFonts w:ascii="仿宋" w:hAnsi="仿宋" w:eastAsia="仿宋" w:cs="Times New Roman"/>
          <w:bCs/>
          <w:kern w:val="2"/>
          <w:sz w:val="32"/>
          <w:szCs w:val="32"/>
        </w:rPr>
        <w:t>防灾、减灾、救灾、 指挥、救援、监管、执法、保障等职能</w:t>
      </w:r>
      <w:r>
        <w:rPr>
          <w:rFonts w:hint="eastAsia" w:ascii="仿宋" w:hAnsi="仿宋" w:eastAsia="仿宋" w:cs="Times New Roman"/>
          <w:bCs/>
          <w:kern w:val="2"/>
          <w:sz w:val="32"/>
          <w:szCs w:val="32"/>
        </w:rPr>
        <w:t>部门责任</w:t>
      </w:r>
      <w:r>
        <w:rPr>
          <w:rFonts w:ascii="仿宋" w:hAnsi="仿宋" w:eastAsia="仿宋" w:cs="Times New Roman"/>
          <w:bCs/>
          <w:kern w:val="2"/>
          <w:sz w:val="32"/>
          <w:szCs w:val="32"/>
        </w:rPr>
        <w:t>分工</w:t>
      </w:r>
      <w:r>
        <w:rPr>
          <w:rFonts w:hint="eastAsia" w:ascii="仿宋" w:hAnsi="仿宋" w:eastAsia="仿宋" w:cs="Times New Roman"/>
          <w:bCs/>
          <w:kern w:val="2"/>
          <w:sz w:val="32"/>
          <w:szCs w:val="32"/>
        </w:rPr>
        <w:t>，实现了</w:t>
      </w:r>
      <w:r>
        <w:rPr>
          <w:rFonts w:ascii="仿宋" w:hAnsi="仿宋" w:eastAsia="仿宋" w:cs="Times New Roman"/>
          <w:bCs/>
          <w:kern w:val="2"/>
          <w:sz w:val="32"/>
          <w:szCs w:val="32"/>
        </w:rPr>
        <w:t>互为衔接的“大应急”管理格局</w:t>
      </w:r>
      <w:r>
        <w:rPr>
          <w:rFonts w:hint="eastAsia" w:ascii="仿宋" w:hAnsi="仿宋" w:eastAsia="仿宋" w:cs="Times New Roman"/>
          <w:bCs/>
          <w:kern w:val="2"/>
          <w:sz w:val="32"/>
          <w:szCs w:val="32"/>
        </w:rPr>
        <w:t>。</w:t>
      </w:r>
    </w:p>
    <w:p>
      <w:pPr>
        <w:pStyle w:val="14"/>
        <w:spacing w:line="660" w:lineRule="exact"/>
        <w:ind w:firstLine="643" w:firstLineChars="200"/>
        <w:rPr>
          <w:rFonts w:ascii="仿宋" w:hAnsi="仿宋" w:eastAsia="仿宋" w:cs="Times New Roman"/>
          <w:bCs/>
          <w:kern w:val="2"/>
          <w:sz w:val="32"/>
          <w:szCs w:val="32"/>
        </w:rPr>
      </w:pPr>
      <w:r>
        <w:rPr>
          <w:rFonts w:hint="eastAsia" w:ascii="仿宋" w:hAnsi="仿宋" w:eastAsia="仿宋" w:cs="Times New Roman"/>
          <w:b/>
          <w:kern w:val="2"/>
          <w:sz w:val="32"/>
          <w:szCs w:val="32"/>
        </w:rPr>
        <w:t>2.安全生产责任持续得到夯实。</w:t>
      </w:r>
      <w:r>
        <w:rPr>
          <w:rFonts w:hint="eastAsia" w:ascii="仿宋" w:hAnsi="仿宋" w:eastAsia="仿宋"/>
          <w:bCs/>
          <w:sz w:val="32"/>
          <w:szCs w:val="32"/>
        </w:rPr>
        <w:t>深入推进安全生产责任落实，明确属地、行业和专业部门安全生产监管责任及企业安全生产主体责任。提高安全生产政治站位，将安全生产纳入全区目标责任制考核和理论中心组学习，进一步落实责任，提高领导干部的担当意识。扎实开展全区安全生产专项整治行动，持续开展“冬春安全整治大会战”，“</w:t>
      </w:r>
      <w:r>
        <w:rPr>
          <w:rFonts w:hint="eastAsia" w:ascii="仿宋" w:hAnsi="仿宋" w:eastAsia="仿宋" w:cs="Times New Roman"/>
          <w:bCs/>
          <w:sz w:val="32"/>
          <w:szCs w:val="32"/>
        </w:rPr>
        <w:t>夏秋百日攻坚</w:t>
      </w:r>
      <w:r>
        <w:rPr>
          <w:rFonts w:hint="eastAsia" w:ascii="仿宋" w:hAnsi="仿宋" w:eastAsia="仿宋"/>
          <w:bCs/>
          <w:sz w:val="32"/>
          <w:szCs w:val="32"/>
        </w:rPr>
        <w:t>”和“</w:t>
      </w:r>
      <w:r>
        <w:rPr>
          <w:rFonts w:hint="eastAsia" w:ascii="仿宋" w:hAnsi="仿宋" w:eastAsia="仿宋" w:cs="Times New Roman"/>
          <w:bCs/>
          <w:sz w:val="32"/>
          <w:szCs w:val="32"/>
        </w:rPr>
        <w:t>迎大庆、保安全、严监管、促平安大决战</w:t>
      </w:r>
      <w:r>
        <w:rPr>
          <w:rFonts w:hint="eastAsia" w:ascii="仿宋" w:hAnsi="仿宋" w:eastAsia="仿宋"/>
          <w:bCs/>
          <w:sz w:val="32"/>
          <w:szCs w:val="32"/>
        </w:rPr>
        <w:t>”专项活动，取得良好成效。通过政府购买服务进行区域风险评估，指导94户企业完成了安全风险分级管控与隐患排查治理双重预防机制建设工作，以贯彻落实安全生产专项整治三年行动为契机，强化道路运输、消防、危险化学品等重点行业领域和重点部位的专项治理，查漏洞、补短板，从根本上消除事故隐患，提升本质安全水平。持续加大</w:t>
      </w:r>
      <w:r>
        <w:rPr>
          <w:rFonts w:hint="eastAsia" w:ascii="仿宋" w:hAnsi="仿宋" w:eastAsia="仿宋" w:cs="Times New Roman"/>
          <w:bCs/>
          <w:sz w:val="32"/>
          <w:szCs w:val="32"/>
        </w:rPr>
        <w:t>明查暗访、督查督办力度，通过行政处罚、停产等强化推进整改措施落实。</w:t>
      </w:r>
    </w:p>
    <w:p>
      <w:pPr>
        <w:spacing w:line="660" w:lineRule="exact"/>
        <w:ind w:firstLine="643" w:firstLineChars="200"/>
        <w:rPr>
          <w:rFonts w:ascii="仿宋" w:hAnsi="仿宋" w:eastAsia="仿宋"/>
          <w:bCs/>
          <w:sz w:val="32"/>
          <w:szCs w:val="32"/>
        </w:rPr>
      </w:pPr>
      <w:r>
        <w:rPr>
          <w:rFonts w:hint="eastAsia" w:ascii="仿宋" w:hAnsi="仿宋" w:eastAsia="仿宋"/>
          <w:b/>
          <w:sz w:val="32"/>
          <w:szCs w:val="32"/>
        </w:rPr>
        <w:t>3.灾害防控取得明显成效。</w:t>
      </w:r>
      <w:r>
        <w:rPr>
          <w:rFonts w:hint="eastAsia" w:ascii="仿宋" w:hAnsi="仿宋" w:eastAsia="仿宋"/>
          <w:bCs/>
          <w:sz w:val="32"/>
          <w:szCs w:val="32"/>
        </w:rPr>
        <w:t>根据职责分工，指导协调相关部门积极开展</w:t>
      </w:r>
      <w:r>
        <w:rPr>
          <w:rFonts w:ascii="仿宋" w:hAnsi="仿宋" w:eastAsia="仿宋"/>
          <w:bCs/>
          <w:sz w:val="32"/>
          <w:szCs w:val="32"/>
        </w:rPr>
        <w:t>森林火灾、水旱灾害、地震和地质灾害等防治工作，</w:t>
      </w:r>
      <w:r>
        <w:rPr>
          <w:rFonts w:hint="eastAsia" w:ascii="仿宋" w:hAnsi="仿宋" w:eastAsia="仿宋"/>
          <w:bCs/>
          <w:sz w:val="32"/>
          <w:szCs w:val="32"/>
        </w:rPr>
        <w:t>认真开展</w:t>
      </w:r>
      <w:r>
        <w:rPr>
          <w:rFonts w:ascii="仿宋" w:hAnsi="仿宋" w:eastAsia="仿宋"/>
          <w:bCs/>
          <w:sz w:val="32"/>
          <w:szCs w:val="32"/>
        </w:rPr>
        <w:t>自然灾害综合监测预警</w:t>
      </w:r>
      <w:r>
        <w:rPr>
          <w:rFonts w:hint="eastAsia" w:ascii="仿宋" w:hAnsi="仿宋" w:eastAsia="仿宋"/>
          <w:bCs/>
          <w:sz w:val="32"/>
          <w:szCs w:val="32"/>
        </w:rPr>
        <w:t>。严格执行应急值班值守制度，及时处置各类突发事件。针对近年来汛期降雨量较大特点，组织各街、镇、开发区和相关单位加强应急值守，及时发布气象预警信息，协调防汛物资和抢险救援队伍。根据应急响应级别，指挥协调开展应急行动，紧急转移受灾群众，协调有关部门开展灾后核查，最大程度保障人民群众生命财产安全，得到省领导的肯定和好评。</w:t>
      </w:r>
    </w:p>
    <w:p>
      <w:pPr>
        <w:spacing w:line="660" w:lineRule="exact"/>
        <w:ind w:firstLine="643" w:firstLineChars="200"/>
        <w:rPr>
          <w:rFonts w:ascii="仿宋" w:hAnsi="仿宋" w:eastAsia="仿宋"/>
          <w:bCs/>
          <w:sz w:val="32"/>
          <w:szCs w:val="32"/>
        </w:rPr>
      </w:pPr>
      <w:r>
        <w:rPr>
          <w:rFonts w:hint="eastAsia" w:ascii="仿宋" w:hAnsi="仿宋" w:eastAsia="仿宋"/>
          <w:b/>
          <w:sz w:val="32"/>
          <w:szCs w:val="32"/>
        </w:rPr>
        <w:t>4、应急预案体系更加健全。</w:t>
      </w:r>
      <w:r>
        <w:rPr>
          <w:rFonts w:hint="eastAsia" w:ascii="仿宋" w:hAnsi="仿宋" w:eastAsia="仿宋"/>
          <w:bCs/>
          <w:sz w:val="32"/>
          <w:szCs w:val="32"/>
        </w:rPr>
        <w:t>加强应急预案体系建设，推动有关部门履行应急预案修订职责。组织开展全区总体预案修订，及时开展安全生产类、自然灾害类专项预案修订工作落实，指导各专项预案和部门预案的修订完善，基本建立“横向到边、纵向到底”的全区基层应急管理预案体系，初步形成“政府统筹协调、群众广泛参与、防范严密到位、处置快捷有效”的基层应急管理工作机制。积极开展应急演练，增强参演单位人员的忧患意识和自救互救能力，不断提升预案的实用性和可操作性，进一步夯实我区应急处置能力。</w:t>
      </w:r>
    </w:p>
    <w:p>
      <w:pPr>
        <w:spacing w:line="660" w:lineRule="exact"/>
        <w:ind w:firstLine="643" w:firstLineChars="200"/>
        <w:rPr>
          <w:rFonts w:ascii="仿宋" w:hAnsi="仿宋" w:eastAsia="仿宋"/>
          <w:bCs/>
          <w:sz w:val="32"/>
          <w:szCs w:val="32"/>
        </w:rPr>
      </w:pPr>
      <w:r>
        <w:rPr>
          <w:rFonts w:hint="eastAsia" w:ascii="仿宋" w:hAnsi="仿宋" w:eastAsia="仿宋"/>
          <w:b/>
          <w:sz w:val="32"/>
          <w:szCs w:val="32"/>
        </w:rPr>
        <w:t>5.综合保障能力不断提升。</w:t>
      </w:r>
      <w:r>
        <w:rPr>
          <w:rFonts w:hint="eastAsia" w:ascii="仿宋" w:hAnsi="仿宋" w:eastAsia="仿宋"/>
          <w:bCs/>
          <w:sz w:val="32"/>
          <w:szCs w:val="32"/>
        </w:rPr>
        <w:t>精准实施危险化学品和烟花爆竹、电气线路及易燃有毒材料、油气长输管道、建筑施工脚手架和起重机械、“两客一危”等重点车辆、社会福利机构、粉尘和液氨专项治理，深化双重预防机制和“五个一”建设工程。通过公开招标，确定中介服务机构，开展区域风险评估，进行风险管控，消除隐患。组织成立朝阳区安全生产联盟，提升重点企业安全生产水平。大力弘扬“生命至上、科学救援”理念，开展好安全生产“七进”、“安全生产宣传月”等活动。委托培训机构，对安全管理人员进行分层次、有针对性培训，不断提升管理人员工作能力和水平。承办长春市“安全生产月”咨询日活动，获得了全国“安全生产月”先进组织单位荣誉，安全生产工作得到了上级领导的肯定和好评。拓宽进人渠道，通过军转干部录用补充编制空缺，充实应急队伍，配齐配强力量。积极争取人员编制，加强综合执法队伍建设，提高执法监管能力。</w:t>
      </w:r>
    </w:p>
    <w:p>
      <w:pPr>
        <w:pStyle w:val="14"/>
        <w:spacing w:before="0" w:beforeAutospacing="0" w:after="0" w:afterAutospacing="0" w:line="660" w:lineRule="exact"/>
        <w:ind w:firstLine="643" w:firstLineChars="200"/>
        <w:jc w:val="both"/>
        <w:rPr>
          <w:rFonts w:ascii="仿宋" w:hAnsi="仿宋" w:eastAsia="仿宋" w:cs="Times New Roman"/>
          <w:bCs/>
          <w:kern w:val="2"/>
          <w:sz w:val="32"/>
          <w:szCs w:val="32"/>
        </w:rPr>
      </w:pPr>
      <w:r>
        <w:rPr>
          <w:rFonts w:hint="eastAsia" w:ascii="仿宋" w:hAnsi="仿宋" w:eastAsia="仿宋" w:cs="Times New Roman"/>
          <w:b/>
          <w:kern w:val="2"/>
          <w:sz w:val="32"/>
          <w:szCs w:val="32"/>
        </w:rPr>
        <w:t>6．安全理念和防灾减灾责任意识得以强化。</w:t>
      </w:r>
      <w:r>
        <w:rPr>
          <w:rFonts w:hint="eastAsia" w:ascii="仿宋" w:hAnsi="仿宋" w:eastAsia="仿宋"/>
          <w:bCs/>
          <w:sz w:val="32"/>
          <w:szCs w:val="32"/>
        </w:rPr>
        <w:t>组织安全生产监管职责部门负责人、基层监管执法人员、网格管理人员、安全生产信息专员、企业安全工作人员等关键岗位人员进行培训，不断提升从事安全工作能力和水平。组织召开危化企业安全管理培训，传达贯彻上级要求，讲解日常安全管理的注意事项，分析日常监管中发现的问题，提出下一步的整治重点，推动企业主体责任的落实。通过“5</w:t>
      </w:r>
      <w:r>
        <w:rPr>
          <w:rFonts w:ascii="仿宋" w:hAnsi="仿宋" w:eastAsia="仿宋"/>
          <w:bCs/>
          <w:sz w:val="32"/>
          <w:szCs w:val="32"/>
        </w:rPr>
        <w:t>.12</w:t>
      </w:r>
      <w:r>
        <w:rPr>
          <w:rFonts w:hint="eastAsia" w:ascii="仿宋" w:hAnsi="仿宋" w:eastAsia="仿宋"/>
          <w:bCs/>
          <w:sz w:val="32"/>
          <w:szCs w:val="32"/>
        </w:rPr>
        <w:t>”全国防灾减灾日和承办长春市“6</w:t>
      </w:r>
      <w:r>
        <w:rPr>
          <w:rFonts w:ascii="仿宋" w:hAnsi="仿宋" w:eastAsia="仿宋"/>
          <w:bCs/>
          <w:sz w:val="32"/>
          <w:szCs w:val="32"/>
        </w:rPr>
        <w:t>.16</w:t>
      </w:r>
      <w:r>
        <w:rPr>
          <w:rFonts w:hint="eastAsia" w:ascii="仿宋" w:hAnsi="仿宋" w:eastAsia="仿宋"/>
          <w:bCs/>
          <w:sz w:val="32"/>
          <w:szCs w:val="32"/>
        </w:rPr>
        <w:t>”安全生产月咨询日活动，提高群众应对自然灾害时的避灾自救、互救能力。</w:t>
      </w:r>
    </w:p>
    <w:p>
      <w:pPr>
        <w:keepNext/>
        <w:keepLines/>
        <w:spacing w:before="60" w:after="60" w:line="660" w:lineRule="exact"/>
        <w:outlineLvl w:val="1"/>
        <w:rPr>
          <w:rFonts w:ascii="仿宋" w:hAnsi="仿宋" w:eastAsia="仿宋"/>
          <w:b/>
          <w:bCs/>
          <w:sz w:val="32"/>
          <w:szCs w:val="32"/>
        </w:rPr>
      </w:pPr>
      <w:bookmarkStart w:id="4" w:name="_Toc53434450"/>
      <w:r>
        <w:rPr>
          <w:rFonts w:hint="eastAsia" w:ascii="仿宋" w:hAnsi="仿宋" w:eastAsia="仿宋"/>
          <w:b/>
          <w:bCs/>
          <w:sz w:val="32"/>
          <w:szCs w:val="32"/>
        </w:rPr>
        <w:t>（二）存在的问题与短板</w:t>
      </w:r>
      <w:bookmarkEnd w:id="4"/>
    </w:p>
    <w:p>
      <w:pPr>
        <w:pStyle w:val="16"/>
        <w:spacing w:line="660" w:lineRule="exact"/>
        <w:ind w:left="0" w:leftChars="0" w:firstLine="640"/>
        <w:rPr>
          <w:rFonts w:ascii="仿宋" w:hAnsi="仿宋" w:eastAsia="仿宋" w:cs="仿宋"/>
          <w:kern w:val="0"/>
          <w:sz w:val="32"/>
          <w:szCs w:val="32"/>
        </w:rPr>
      </w:pPr>
      <w:r>
        <w:rPr>
          <w:rFonts w:hint="eastAsia" w:ascii="仿宋" w:hAnsi="仿宋" w:eastAsia="仿宋" w:cs="仿宋"/>
          <w:kern w:val="0"/>
          <w:sz w:val="32"/>
          <w:szCs w:val="32"/>
        </w:rPr>
        <w:t>自我区应急管理局组建以来，各部门互相融合，虽初步形成“大应急”良好局面，但在应急管理体系、综合防灾减灾救灾工作能力、安全生产管理体系建设等方面仍然存在一些明显制约我区应急管理事业发展的矛盾和问题：</w:t>
      </w:r>
    </w:p>
    <w:p>
      <w:pPr>
        <w:pStyle w:val="16"/>
        <w:spacing w:line="660" w:lineRule="exact"/>
        <w:ind w:left="0" w:leftChars="0" w:firstLine="643"/>
        <w:rPr>
          <w:rFonts w:ascii="仿宋" w:hAnsi="仿宋" w:eastAsia="仿宋" w:cs="仿宋"/>
          <w:kern w:val="0"/>
          <w:sz w:val="32"/>
          <w:szCs w:val="32"/>
        </w:rPr>
      </w:pPr>
      <w:r>
        <w:rPr>
          <w:rFonts w:hint="eastAsia" w:ascii="仿宋" w:hAnsi="仿宋" w:eastAsia="仿宋" w:cs="仿宋"/>
          <w:b/>
          <w:bCs/>
          <w:kern w:val="0"/>
          <w:sz w:val="32"/>
          <w:szCs w:val="32"/>
        </w:rPr>
        <w:t>1.应急体系建设尚需加强。</w:t>
      </w:r>
      <w:r>
        <w:rPr>
          <w:rFonts w:hint="eastAsia" w:ascii="仿宋" w:hAnsi="仿宋" w:eastAsia="仿宋" w:cs="仿宋"/>
          <w:kern w:val="0"/>
          <w:sz w:val="32"/>
          <w:szCs w:val="32"/>
        </w:rPr>
        <w:t>体制和机制方面还存在职责尚未完全厘清，部分法律法规不够健全，应急预案不够健全，多数预案没有开展风险评估和应急资源调查，应急管理科技创新能力不足等问题。在应急救援能力上，基层应急基础设施建设缺口很大，应急物资储备不足，应急管理人员严重不足，应急救援队伍有待进一步扩大。应急管理工作在社会协同能力方面，社会各行业之间、政府与企业之间以及政府各个部门之间都有待进一步加强。社会公众应急意识有待进一步提升，参与应急管理宣传教育意识仍显不足。与兄弟县区尚未形成良好的合作交流机制，交流合作能力有待进一步强化。与科研院所、高等院校交流还不够充分，科技创新基础设施不足。</w:t>
      </w:r>
    </w:p>
    <w:p>
      <w:pPr>
        <w:pStyle w:val="16"/>
        <w:spacing w:line="660" w:lineRule="exact"/>
        <w:ind w:left="0" w:leftChars="0" w:firstLine="643"/>
        <w:rPr>
          <w:rFonts w:ascii="仿宋" w:hAnsi="仿宋" w:eastAsia="仿宋" w:cs="仿宋"/>
          <w:kern w:val="0"/>
          <w:sz w:val="32"/>
          <w:szCs w:val="32"/>
        </w:rPr>
      </w:pPr>
      <w:r>
        <w:rPr>
          <w:rFonts w:hint="eastAsia" w:ascii="仿宋" w:hAnsi="仿宋" w:eastAsia="仿宋" w:cs="仿宋"/>
          <w:b/>
          <w:bCs/>
          <w:kern w:val="0"/>
          <w:sz w:val="32"/>
          <w:szCs w:val="32"/>
        </w:rPr>
        <w:t>2</w:t>
      </w:r>
      <w:r>
        <w:rPr>
          <w:rFonts w:ascii="仿宋" w:hAnsi="仿宋" w:eastAsia="仿宋" w:cs="仿宋"/>
          <w:b/>
          <w:bCs/>
          <w:kern w:val="0"/>
          <w:sz w:val="32"/>
          <w:szCs w:val="32"/>
        </w:rPr>
        <w:t>.</w:t>
      </w:r>
      <w:bookmarkStart w:id="5" w:name="_Hlk52702246"/>
      <w:r>
        <w:rPr>
          <w:rFonts w:hint="eastAsia" w:ascii="仿宋" w:hAnsi="仿宋" w:eastAsia="仿宋" w:cs="仿宋"/>
          <w:b/>
          <w:bCs/>
          <w:kern w:val="0"/>
          <w:sz w:val="32"/>
          <w:szCs w:val="32"/>
        </w:rPr>
        <w:t>综合防灾减灾救灾工作能力</w:t>
      </w:r>
      <w:bookmarkEnd w:id="5"/>
      <w:r>
        <w:rPr>
          <w:rFonts w:hint="eastAsia" w:ascii="仿宋" w:hAnsi="仿宋" w:eastAsia="仿宋" w:cs="仿宋"/>
          <w:b/>
          <w:bCs/>
          <w:kern w:val="0"/>
          <w:sz w:val="32"/>
          <w:szCs w:val="32"/>
        </w:rPr>
        <w:t>有待继续提升。</w:t>
      </w:r>
      <w:r>
        <w:rPr>
          <w:rFonts w:hint="eastAsia" w:ascii="仿宋" w:hAnsi="仿宋" w:eastAsia="仿宋" w:cs="仿宋"/>
          <w:kern w:val="0"/>
          <w:sz w:val="32"/>
          <w:szCs w:val="32"/>
        </w:rPr>
        <w:t>防灾减灾救灾协同机制基本顺畅，协同能力有待提升，应急管理部门值班值守工作压力较大，灾害风险管理理念不强，防范预警体系还不够成熟，尚未建立灾后救助、灾害损失和恢复重建长效机制。防灾物资储备和基础设施建设有待提高，防灾救灾减灾科技创新能力还不能满足应急工作需求，社会化防灾减灾救灾体系不够完善，自我救助能力不足。应对单一灾种向综合减灾转变准备尚需提升。</w:t>
      </w:r>
    </w:p>
    <w:p>
      <w:pPr>
        <w:pStyle w:val="16"/>
        <w:spacing w:line="660" w:lineRule="exact"/>
        <w:ind w:left="0" w:leftChars="0" w:firstLine="643"/>
        <w:rPr>
          <w:rFonts w:ascii="仿宋" w:hAnsi="仿宋" w:eastAsia="仿宋" w:cs="仿宋"/>
          <w:kern w:val="0"/>
          <w:sz w:val="32"/>
          <w:szCs w:val="32"/>
        </w:rPr>
      </w:pPr>
      <w:r>
        <w:rPr>
          <w:rFonts w:hint="eastAsia" w:ascii="仿宋" w:hAnsi="仿宋" w:eastAsia="仿宋" w:cs="仿宋"/>
          <w:b/>
          <w:bCs/>
          <w:kern w:val="0"/>
          <w:sz w:val="32"/>
          <w:szCs w:val="32"/>
        </w:rPr>
        <w:t>3</w:t>
      </w:r>
      <w:r>
        <w:rPr>
          <w:rFonts w:ascii="仿宋" w:hAnsi="仿宋" w:eastAsia="仿宋" w:cs="仿宋"/>
          <w:b/>
          <w:bCs/>
          <w:kern w:val="0"/>
          <w:sz w:val="32"/>
          <w:szCs w:val="32"/>
        </w:rPr>
        <w:t>.</w:t>
      </w:r>
      <w:bookmarkStart w:id="6" w:name="_Hlk52702260"/>
      <w:r>
        <w:rPr>
          <w:rFonts w:hint="eastAsia" w:ascii="仿宋" w:hAnsi="仿宋" w:eastAsia="仿宋" w:cs="仿宋"/>
          <w:b/>
          <w:bCs/>
          <w:kern w:val="0"/>
          <w:sz w:val="32"/>
          <w:szCs w:val="32"/>
        </w:rPr>
        <w:t>安全生产管理体系</w:t>
      </w:r>
      <w:bookmarkEnd w:id="6"/>
      <w:r>
        <w:rPr>
          <w:rFonts w:hint="eastAsia" w:ascii="仿宋" w:hAnsi="仿宋" w:eastAsia="仿宋" w:cs="仿宋"/>
          <w:b/>
          <w:bCs/>
          <w:kern w:val="0"/>
          <w:sz w:val="32"/>
          <w:szCs w:val="32"/>
        </w:rPr>
        <w:t>在部分方面仍有不足。</w:t>
      </w:r>
      <w:r>
        <w:rPr>
          <w:rFonts w:hint="eastAsia" w:ascii="仿宋" w:hAnsi="仿宋" w:eastAsia="仿宋" w:cs="仿宋"/>
          <w:kern w:val="0"/>
          <w:sz w:val="32"/>
          <w:szCs w:val="32"/>
        </w:rPr>
        <w:t>安全生产监管执法队伍因人员较少，与监管任务量不能有效匹配。区应急局科室设置较少，承接省市职能难度较大。各行业部门没有设置专门安全管理机构，配备人员均为兼职，不能满足工作需要。街道专业人员配备严重不足，严重制约应急管理工作的顺利开展。部分行业安全生产执法难度较大，科技攻关能力不强导致风险认识还不够到位，风险化解机制有待进一步健全。伴随着经济社会发展，朝阳区作为城市主城区还存在高危行业和重点领域多，安全事故风险点多，城市建设发展迅速，新老问题交织叠加，社会敏感度高等问题。</w:t>
      </w:r>
    </w:p>
    <w:p>
      <w:pPr>
        <w:keepNext/>
        <w:keepLines/>
        <w:spacing w:before="60" w:after="60" w:line="660" w:lineRule="exact"/>
        <w:outlineLvl w:val="1"/>
        <w:rPr>
          <w:rFonts w:ascii="仿宋" w:hAnsi="仿宋" w:eastAsia="仿宋"/>
          <w:b/>
          <w:bCs/>
          <w:sz w:val="32"/>
          <w:szCs w:val="32"/>
        </w:rPr>
      </w:pPr>
      <w:bookmarkStart w:id="7" w:name="_Toc53434451"/>
      <w:r>
        <w:rPr>
          <w:rFonts w:hint="eastAsia" w:ascii="仿宋" w:hAnsi="仿宋" w:eastAsia="仿宋"/>
          <w:b/>
          <w:bCs/>
          <w:sz w:val="32"/>
          <w:szCs w:val="32"/>
        </w:rPr>
        <w:t>（三）面临的机遇和挑战</w:t>
      </w:r>
      <w:bookmarkEnd w:id="7"/>
    </w:p>
    <w:p>
      <w:pPr>
        <w:widowControl/>
        <w:spacing w:line="660" w:lineRule="exact"/>
        <w:ind w:firstLine="643" w:firstLineChars="200"/>
        <w:rPr>
          <w:rFonts w:ascii="仿宋" w:hAnsi="仿宋" w:eastAsia="仿宋" w:cs="仿宋"/>
          <w:color w:val="222222"/>
          <w:kern w:val="0"/>
          <w:sz w:val="32"/>
          <w:szCs w:val="32"/>
        </w:rPr>
      </w:pPr>
      <w:r>
        <w:rPr>
          <w:rFonts w:hint="eastAsia" w:ascii="仿宋" w:hAnsi="仿宋" w:eastAsia="仿宋" w:cs="仿宋"/>
          <w:b/>
          <w:bCs/>
          <w:color w:val="000000"/>
          <w:kern w:val="0"/>
          <w:sz w:val="32"/>
          <w:szCs w:val="32"/>
        </w:rPr>
        <w:t>1.面临的机遇</w:t>
      </w:r>
      <w:r>
        <w:rPr>
          <w:rFonts w:hint="eastAsia" w:ascii="仿宋" w:hAnsi="仿宋" w:eastAsia="仿宋" w:cs="仿宋"/>
          <w:b/>
          <w:bCs/>
          <w:sz w:val="32"/>
          <w:szCs w:val="32"/>
        </w:rPr>
        <w:t>。</w:t>
      </w:r>
      <w:r>
        <w:rPr>
          <w:rFonts w:hint="eastAsia" w:ascii="仿宋" w:hAnsi="仿宋" w:eastAsia="仿宋" w:cs="仿宋"/>
          <w:b/>
          <w:bCs/>
          <w:color w:val="222222"/>
          <w:kern w:val="0"/>
          <w:sz w:val="32"/>
          <w:szCs w:val="32"/>
        </w:rPr>
        <w:t>一是</w:t>
      </w:r>
      <w:r>
        <w:rPr>
          <w:rFonts w:hint="eastAsia" w:ascii="仿宋" w:hAnsi="仿宋" w:eastAsia="仿宋" w:cs="仿宋"/>
          <w:color w:val="222222"/>
          <w:kern w:val="0"/>
          <w:sz w:val="32"/>
          <w:szCs w:val="32"/>
        </w:rPr>
        <w:t>党中央、国务院高度重视安全生产、应急救援、防灾减灾工作，并作出了一系列重大决策部署。习近平总书记在中共中央政治局就我国应急管理体系和能力建设进行第十九次集体学习时对应急管理工作提出了一些具体要求：“要健全风险防范化解机制，坚持从源头上防范化解重大安全风险，真正把问题解决在萌芽之时、成灾之前”。在安全生产方面，发表了系列讲话，深入推进了安全生产领域的改革发展，为安全生产、应急救援、防灾减灾工作提供了强大政策支持；</w:t>
      </w:r>
      <w:r>
        <w:rPr>
          <w:rFonts w:hint="eastAsia" w:ascii="仿宋" w:hAnsi="仿宋" w:eastAsia="仿宋" w:cs="仿宋"/>
          <w:b/>
          <w:bCs/>
          <w:color w:val="222222"/>
          <w:kern w:val="0"/>
          <w:sz w:val="32"/>
          <w:szCs w:val="32"/>
        </w:rPr>
        <w:t>二是</w:t>
      </w:r>
      <w:r>
        <w:rPr>
          <w:rFonts w:hint="eastAsia" w:ascii="仿宋" w:hAnsi="仿宋" w:eastAsia="仿宋" w:cs="仿宋"/>
          <w:color w:val="222222"/>
          <w:kern w:val="0"/>
          <w:sz w:val="32"/>
          <w:szCs w:val="32"/>
        </w:rPr>
        <w:t>各级党委政府高度重视应急管理工作。省委省政府出台了《关于加强乡镇（街道）、村（社区）应急管理体系、能力建设的实施意见》等系列文件，长春市委、市政府所提出的全面振兴全方位振兴的新发展理念，加快建设长春现代化都市圈的战略部署以及对安全与应急产业创新发展的推动等，加快应急管理体系建设，促进“科技强安”，全面促进应急能力提升。区委区政府加强领导、强化监管，狠抓责任落实，为安全生产、应急管理、防灾减灾工作提供了有力保障；</w:t>
      </w:r>
      <w:r>
        <w:rPr>
          <w:rFonts w:hint="eastAsia" w:ascii="仿宋" w:hAnsi="仿宋" w:eastAsia="仿宋" w:cs="仿宋"/>
          <w:b/>
          <w:bCs/>
          <w:color w:val="222222"/>
          <w:kern w:val="0"/>
          <w:sz w:val="32"/>
          <w:szCs w:val="32"/>
        </w:rPr>
        <w:t>三是</w:t>
      </w:r>
      <w:r>
        <w:rPr>
          <w:rFonts w:hint="eastAsia" w:ascii="仿宋" w:hAnsi="仿宋" w:eastAsia="仿宋" w:cs="仿宋"/>
          <w:color w:val="222222"/>
          <w:kern w:val="0"/>
          <w:sz w:val="32"/>
          <w:szCs w:val="32"/>
        </w:rPr>
        <w:t>机构组建实现良好开局，机制重塑和权责理顺基本到位。</w:t>
      </w:r>
      <w:r>
        <w:rPr>
          <w:rFonts w:ascii="仿宋" w:hAnsi="仿宋" w:eastAsia="仿宋" w:cs="仿宋"/>
          <w:color w:val="222222"/>
          <w:kern w:val="0"/>
          <w:sz w:val="32"/>
          <w:szCs w:val="32"/>
        </w:rPr>
        <w:t>区应急管理局挂牌成立以来，积极适应新体制新要求，以创新的思路、改革的办法和有力的举措奋力破解难题，逐步厘清应急管理横向及纵向各职能部门之间的关系</w:t>
      </w:r>
      <w:r>
        <w:rPr>
          <w:rFonts w:hint="eastAsia" w:ascii="仿宋" w:hAnsi="仿宋" w:eastAsia="仿宋" w:cs="仿宋"/>
          <w:color w:val="222222"/>
          <w:kern w:val="0"/>
          <w:sz w:val="32"/>
          <w:szCs w:val="32"/>
        </w:rPr>
        <w:t>，明确出</w:t>
      </w:r>
      <w:r>
        <w:rPr>
          <w:rFonts w:ascii="仿宋" w:hAnsi="仿宋" w:eastAsia="仿宋" w:cs="仿宋"/>
          <w:color w:val="222222"/>
          <w:kern w:val="0"/>
          <w:sz w:val="32"/>
          <w:szCs w:val="32"/>
        </w:rPr>
        <w:t>防灾、减灾、救灾、 指挥、救援、监管、执法、保障等职能</w:t>
      </w:r>
      <w:r>
        <w:rPr>
          <w:rFonts w:hint="eastAsia" w:ascii="仿宋" w:hAnsi="仿宋" w:eastAsia="仿宋" w:cs="仿宋"/>
          <w:color w:val="222222"/>
          <w:kern w:val="0"/>
          <w:sz w:val="32"/>
          <w:szCs w:val="32"/>
        </w:rPr>
        <w:t>部门责任</w:t>
      </w:r>
      <w:r>
        <w:rPr>
          <w:rFonts w:ascii="仿宋" w:hAnsi="仿宋" w:eastAsia="仿宋" w:cs="仿宋"/>
          <w:color w:val="222222"/>
          <w:kern w:val="0"/>
          <w:sz w:val="32"/>
          <w:szCs w:val="32"/>
        </w:rPr>
        <w:t>分工</w:t>
      </w:r>
      <w:r>
        <w:rPr>
          <w:rFonts w:hint="eastAsia" w:ascii="仿宋" w:hAnsi="仿宋" w:eastAsia="仿宋" w:cs="仿宋"/>
          <w:color w:val="222222"/>
          <w:kern w:val="0"/>
          <w:sz w:val="32"/>
          <w:szCs w:val="32"/>
        </w:rPr>
        <w:t>，实现了</w:t>
      </w:r>
      <w:r>
        <w:rPr>
          <w:rFonts w:ascii="仿宋" w:hAnsi="仿宋" w:eastAsia="仿宋" w:cs="仿宋"/>
          <w:color w:val="222222"/>
          <w:kern w:val="0"/>
          <w:sz w:val="32"/>
          <w:szCs w:val="32"/>
        </w:rPr>
        <w:t>互为衔接的“大应急”管理格局</w:t>
      </w:r>
      <w:r>
        <w:rPr>
          <w:rFonts w:hint="eastAsia" w:ascii="仿宋" w:hAnsi="仿宋" w:eastAsia="仿宋" w:cs="仿宋"/>
          <w:color w:val="222222"/>
          <w:kern w:val="0"/>
          <w:sz w:val="32"/>
          <w:szCs w:val="32"/>
        </w:rPr>
        <w:t>；</w:t>
      </w:r>
      <w:r>
        <w:rPr>
          <w:rFonts w:hint="eastAsia" w:ascii="仿宋" w:hAnsi="仿宋" w:eastAsia="仿宋" w:cs="仿宋"/>
          <w:b/>
          <w:bCs/>
          <w:color w:val="222222"/>
          <w:kern w:val="0"/>
          <w:sz w:val="32"/>
          <w:szCs w:val="32"/>
        </w:rPr>
        <w:t>四是</w:t>
      </w:r>
      <w:r>
        <w:rPr>
          <w:rFonts w:hint="eastAsia" w:ascii="仿宋" w:hAnsi="仿宋" w:eastAsia="仿宋" w:cs="仿宋"/>
          <w:color w:val="222222"/>
          <w:kern w:val="0"/>
          <w:sz w:val="32"/>
          <w:szCs w:val="32"/>
        </w:rPr>
        <w:t>新发展理念和政策利好有利于提高行业、企业本质安全水平和防灾减灾能力。随着社会治理能力不断提高，社会文明素质、安全意识和法治观念加快提升，安全发展的社会环境进一步优化。</w:t>
      </w:r>
      <w:r>
        <w:rPr>
          <w:rFonts w:ascii="仿宋" w:hAnsi="仿宋" w:eastAsia="仿宋" w:cs="仿宋"/>
          <w:color w:val="222222"/>
          <w:kern w:val="0"/>
          <w:sz w:val="32"/>
          <w:szCs w:val="32"/>
        </w:rPr>
        <w:t>经济社会发展提质增效、产业结构优化升级、科技创新快速发展，将加快淘汰落后工艺、技术、 装备和产能，自然灾害预警能力</w:t>
      </w:r>
      <w:r>
        <w:rPr>
          <w:rFonts w:hint="eastAsia" w:ascii="仿宋" w:hAnsi="仿宋" w:eastAsia="仿宋" w:cs="仿宋"/>
          <w:color w:val="222222"/>
          <w:kern w:val="0"/>
          <w:sz w:val="32"/>
          <w:szCs w:val="32"/>
        </w:rPr>
        <w:t>显著</w:t>
      </w:r>
      <w:r>
        <w:rPr>
          <w:rFonts w:ascii="仿宋" w:hAnsi="仿宋" w:eastAsia="仿宋" w:cs="仿宋"/>
          <w:color w:val="222222"/>
          <w:kern w:val="0"/>
          <w:sz w:val="32"/>
          <w:szCs w:val="32"/>
        </w:rPr>
        <w:t>提升</w:t>
      </w:r>
      <w:r>
        <w:rPr>
          <w:rFonts w:hint="eastAsia" w:ascii="仿宋" w:hAnsi="仿宋" w:eastAsia="仿宋" w:cs="仿宋"/>
          <w:color w:val="222222"/>
          <w:kern w:val="0"/>
          <w:sz w:val="32"/>
          <w:szCs w:val="32"/>
        </w:rPr>
        <w:t>。人民群众日益增长的安全需求，以及全社会对安全的高度关注，为推动安全生产、防灾减灾、应急救援工作提供了巨大动能。</w:t>
      </w:r>
    </w:p>
    <w:p>
      <w:pPr>
        <w:spacing w:line="660" w:lineRule="exact"/>
        <w:ind w:firstLine="643" w:firstLineChars="200"/>
        <w:rPr>
          <w:rFonts w:ascii="仿宋" w:hAnsi="仿宋" w:eastAsia="仿宋" w:cs="仿宋"/>
          <w:sz w:val="32"/>
          <w:szCs w:val="32"/>
        </w:rPr>
      </w:pPr>
      <w:r>
        <w:rPr>
          <w:rFonts w:hint="eastAsia" w:ascii="仿宋" w:hAnsi="仿宋" w:eastAsia="仿宋" w:cs="仿宋"/>
          <w:b/>
          <w:bCs/>
          <w:color w:val="000000"/>
          <w:kern w:val="0"/>
          <w:sz w:val="32"/>
          <w:szCs w:val="32"/>
        </w:rPr>
        <w:t>2.面临的挑战。</w:t>
      </w:r>
      <w:r>
        <w:rPr>
          <w:rFonts w:hint="eastAsia" w:ascii="仿宋" w:hAnsi="仿宋" w:eastAsia="仿宋" w:cs="仿宋"/>
          <w:b/>
          <w:bCs/>
          <w:sz w:val="32"/>
          <w:szCs w:val="32"/>
        </w:rPr>
        <w:t>一是</w:t>
      </w:r>
      <w:r>
        <w:rPr>
          <w:rFonts w:hint="eastAsia" w:ascii="仿宋" w:hAnsi="仿宋" w:eastAsia="仿宋" w:cs="仿宋"/>
          <w:sz w:val="32"/>
          <w:szCs w:val="32"/>
        </w:rPr>
        <w:t>安全生产、应急救援</w:t>
      </w:r>
      <w:r>
        <w:rPr>
          <w:rFonts w:hint="eastAsia" w:ascii="仿宋" w:hAnsi="仿宋" w:eastAsia="仿宋" w:cs="仿宋"/>
          <w:color w:val="222222"/>
          <w:kern w:val="0"/>
          <w:sz w:val="32"/>
          <w:szCs w:val="32"/>
        </w:rPr>
        <w:t>、防灾减灾与</w:t>
      </w:r>
      <w:r>
        <w:rPr>
          <w:rFonts w:hint="eastAsia" w:ascii="仿宋" w:hAnsi="仿宋" w:eastAsia="仿宋" w:cs="仿宋"/>
          <w:sz w:val="32"/>
          <w:szCs w:val="32"/>
        </w:rPr>
        <w:t>经济社会发展水平还不够同步。从发展水平看，近年来朝阳</w:t>
      </w:r>
      <w:r>
        <w:rPr>
          <w:rFonts w:hint="eastAsia" w:ascii="仿宋" w:hAnsi="仿宋" w:eastAsia="仿宋" w:cs="仿宋"/>
          <w:color w:val="222222"/>
          <w:kern w:val="0"/>
          <w:sz w:val="32"/>
          <w:szCs w:val="32"/>
        </w:rPr>
        <w:t>区作为长春市科技、文化和商贸中心，经济持续发展，但在安全生产、应急救援、防灾减灾等方面仍然</w:t>
      </w:r>
      <w:r>
        <w:rPr>
          <w:rFonts w:hint="eastAsia" w:ascii="仿宋" w:hAnsi="仿宋" w:eastAsia="仿宋" w:cs="仿宋"/>
          <w:sz w:val="32"/>
          <w:szCs w:val="32"/>
        </w:rPr>
        <w:t>存在诸多短板。从投入看，财政专项资金逐年明显增加的机制尚未真正建立，应急资金规模、经济体量和工作任务相比还不够匹配。随着经济由高速增长转为中高速增长，部分企业安全投入难以保证，应急救援队伍、装备、物资、培训、演练等方面落实难度持续加大；</w:t>
      </w:r>
      <w:r>
        <w:rPr>
          <w:rFonts w:hint="eastAsia" w:ascii="仿宋" w:hAnsi="仿宋" w:eastAsia="仿宋" w:cs="仿宋"/>
          <w:b/>
          <w:bCs/>
          <w:sz w:val="32"/>
          <w:szCs w:val="32"/>
        </w:rPr>
        <w:t>二是</w:t>
      </w:r>
      <w:r>
        <w:rPr>
          <w:rFonts w:hint="eastAsia" w:ascii="仿宋" w:hAnsi="仿宋" w:eastAsia="仿宋" w:cs="仿宋"/>
          <w:sz w:val="32"/>
          <w:szCs w:val="32"/>
        </w:rPr>
        <w:t>重大灾害、事故的保障能力不足。随着经济社会的发展，重特大事故发生行业的随机性变大，从集中在传统高危行业转向各种其他行业，且可能出现次生和衍生事故。在应对重特大风险、特大事故方面，专业人才储备、高效的救援设施装备和高度专业化的救援能力等尚准备不足；</w:t>
      </w:r>
      <w:r>
        <w:rPr>
          <w:rFonts w:hint="eastAsia" w:ascii="仿宋" w:hAnsi="仿宋" w:eastAsia="仿宋" w:cs="仿宋"/>
          <w:b/>
          <w:bCs/>
          <w:sz w:val="32"/>
          <w:szCs w:val="32"/>
        </w:rPr>
        <w:t>三是</w:t>
      </w:r>
      <w:r>
        <w:rPr>
          <w:rFonts w:hint="eastAsia" w:ascii="仿宋" w:hAnsi="仿宋" w:eastAsia="仿宋" w:cs="仿宋"/>
          <w:sz w:val="32"/>
          <w:szCs w:val="32"/>
        </w:rPr>
        <w:t>未来灾害风险复杂、多样，应急管理任务十分繁重。受气候变化等自然和经济社会多种因素耦合影响，以及新业态、新技术的不断涌现，不可预知的风险和隐患与存量风险隐患极易产生“叠加效应”，应急管理任务不断增加，应急管理要求持续提升；</w:t>
      </w:r>
      <w:r>
        <w:rPr>
          <w:rFonts w:hint="eastAsia" w:ascii="仿宋" w:hAnsi="仿宋" w:eastAsia="仿宋" w:cs="仿宋"/>
          <w:b/>
          <w:bCs/>
          <w:sz w:val="32"/>
          <w:szCs w:val="32"/>
        </w:rPr>
        <w:t>四是</w:t>
      </w:r>
      <w:r>
        <w:rPr>
          <w:rFonts w:hint="eastAsia" w:ascii="仿宋" w:hAnsi="仿宋" w:eastAsia="仿宋" w:cs="仿宋"/>
          <w:sz w:val="32"/>
          <w:szCs w:val="32"/>
        </w:rPr>
        <w:t>应急管理能力有待进一步提升。减灾救灾体制机制还不够完善，自然灾害防御能力还有待进一步提升，救灾救助综合协调机制还需要进一步完善，减灾救灾科技支撑和人才保障还需加强。特别是近年来，随着应急指挥信息化的发展，朝阳区迫切需要运用云计算、大数据、物联网、人工智能等新技术，建设与朝阳区核心城区位置相匹配的现代应急指挥体系；</w:t>
      </w:r>
      <w:r>
        <w:rPr>
          <w:rFonts w:hint="eastAsia" w:ascii="仿宋" w:hAnsi="仿宋" w:eastAsia="仿宋" w:cs="仿宋"/>
          <w:b/>
          <w:bCs/>
          <w:sz w:val="32"/>
          <w:szCs w:val="32"/>
        </w:rPr>
        <w:t>五是</w:t>
      </w:r>
      <w:r>
        <w:rPr>
          <w:rFonts w:hint="eastAsia" w:ascii="仿宋" w:hAnsi="仿宋" w:eastAsia="仿宋" w:cs="仿宋"/>
          <w:sz w:val="32"/>
          <w:szCs w:val="32"/>
        </w:rPr>
        <w:t>其他方面风险也较为突出。随着经济社会的发展，轨道交通、油气输送管道、危旧房屋、玻璃幕墙、电梯设备以及人员密集场所等安全风险突出，自然灾害、事故灾难等突发事件也日益增多，朝阳区在“十四五”时期应急管理工作面临愈加严峻的挑战。</w:t>
      </w:r>
    </w:p>
    <w:p>
      <w:pPr>
        <w:pStyle w:val="2"/>
        <w:spacing w:line="660" w:lineRule="exact"/>
        <w:rPr>
          <w:rFonts w:ascii="仿宋" w:hAnsi="仿宋" w:eastAsia="仿宋"/>
        </w:rPr>
      </w:pPr>
    </w:p>
    <w:p>
      <w:pPr>
        <w:spacing w:line="660" w:lineRule="exact"/>
        <w:rPr>
          <w:rFonts w:ascii="仿宋" w:hAnsi="仿宋" w:eastAsia="仿宋"/>
        </w:rPr>
      </w:pPr>
    </w:p>
    <w:p>
      <w:pPr>
        <w:pStyle w:val="2"/>
        <w:spacing w:line="660" w:lineRule="exact"/>
        <w:rPr>
          <w:rFonts w:ascii="仿宋" w:hAnsi="仿宋" w:eastAsia="仿宋"/>
        </w:rPr>
      </w:pPr>
    </w:p>
    <w:p>
      <w:pPr>
        <w:spacing w:line="660" w:lineRule="exact"/>
        <w:rPr>
          <w:rFonts w:ascii="仿宋" w:hAnsi="仿宋" w:eastAsia="仿宋"/>
        </w:rPr>
      </w:pPr>
    </w:p>
    <w:p>
      <w:pPr>
        <w:pStyle w:val="2"/>
        <w:spacing w:line="660" w:lineRule="exact"/>
        <w:rPr>
          <w:rFonts w:ascii="仿宋" w:hAnsi="仿宋" w:eastAsia="仿宋"/>
        </w:rPr>
      </w:pPr>
    </w:p>
    <w:p>
      <w:pPr>
        <w:rPr>
          <w:rFonts w:ascii="仿宋" w:hAnsi="仿宋" w:eastAsia="仿宋"/>
        </w:rPr>
      </w:pPr>
    </w:p>
    <w:p>
      <w:pPr>
        <w:pStyle w:val="2"/>
        <w:rPr>
          <w:rFonts w:ascii="仿宋" w:hAnsi="仿宋" w:eastAsia="仿宋"/>
        </w:rPr>
      </w:pPr>
    </w:p>
    <w:p>
      <w:pPr>
        <w:rPr>
          <w:rFonts w:ascii="仿宋" w:hAnsi="仿宋" w:eastAsia="仿宋"/>
        </w:rPr>
      </w:pPr>
    </w:p>
    <w:p>
      <w:pPr>
        <w:pStyle w:val="2"/>
        <w:rPr>
          <w:rFonts w:ascii="仿宋" w:hAnsi="仿宋" w:eastAsia="仿宋"/>
        </w:rPr>
      </w:pPr>
    </w:p>
    <w:p>
      <w:pPr>
        <w:rPr>
          <w:rFonts w:ascii="仿宋" w:hAnsi="仿宋" w:eastAsia="仿宋"/>
        </w:rPr>
      </w:pPr>
    </w:p>
    <w:p>
      <w:pPr>
        <w:pStyle w:val="2"/>
        <w:rPr>
          <w:rFonts w:hint="eastAsia" w:ascii="仿宋" w:hAnsi="仿宋" w:eastAsia="仿宋"/>
        </w:rPr>
      </w:pPr>
    </w:p>
    <w:p>
      <w:pPr>
        <w:spacing w:line="660" w:lineRule="exact"/>
        <w:ind w:firstLine="723" w:firstLineChars="200"/>
        <w:jc w:val="center"/>
        <w:outlineLvl w:val="0"/>
        <w:rPr>
          <w:rFonts w:ascii="仿宋" w:hAnsi="仿宋" w:eastAsia="仿宋"/>
          <w:b/>
          <w:bCs/>
          <w:sz w:val="36"/>
          <w:szCs w:val="36"/>
        </w:rPr>
      </w:pPr>
      <w:bookmarkStart w:id="8" w:name="_Toc53434452"/>
      <w:r>
        <w:rPr>
          <w:rFonts w:hint="eastAsia" w:ascii="仿宋" w:hAnsi="仿宋" w:eastAsia="仿宋"/>
          <w:b/>
          <w:bCs/>
          <w:sz w:val="36"/>
          <w:szCs w:val="36"/>
        </w:rPr>
        <w:t>二、指导思想、基本原则和规划目标</w:t>
      </w:r>
      <w:bookmarkEnd w:id="8"/>
    </w:p>
    <w:p>
      <w:pPr>
        <w:keepNext/>
        <w:keepLines/>
        <w:spacing w:before="60" w:after="60" w:line="660" w:lineRule="exact"/>
        <w:outlineLvl w:val="1"/>
        <w:rPr>
          <w:rFonts w:ascii="仿宋" w:hAnsi="仿宋" w:eastAsia="仿宋"/>
          <w:b/>
          <w:bCs/>
          <w:sz w:val="32"/>
          <w:szCs w:val="32"/>
        </w:rPr>
      </w:pPr>
      <w:bookmarkStart w:id="9" w:name="_Toc53434453"/>
      <w:r>
        <w:rPr>
          <w:rFonts w:hint="eastAsia" w:ascii="仿宋" w:hAnsi="仿宋" w:eastAsia="仿宋"/>
          <w:b/>
          <w:bCs/>
          <w:sz w:val="32"/>
          <w:szCs w:val="32"/>
        </w:rPr>
        <w:t>（一）指导思想</w:t>
      </w:r>
      <w:bookmarkEnd w:id="9"/>
    </w:p>
    <w:p>
      <w:pPr>
        <w:spacing w:line="6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习近平总书记在主持十九届中央政治局第十九次集体学习时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健全风险防范化解机制，坚持从源头上防范化解重大安全风险，真正把问题解决在萌芽之时、成灾之前。加强应急救援队伍建设，建设一支专常兼备、反应灵敏、作风过硬、本领高强的应急救援队伍。强化应急管理装备技术支撑，优化整合各类科技资源，推进应急管理科技自主创新，依靠科技提高应急管理的科学化、专业化、智能化、精细化水平。各级党委和政府要切实担负起“促一方发展、保一方平安”的政治责任，严格落实责任制。</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长春市朝阳区应急管理“十四五”规划编制，以习近平新时代中国特色社会主义思想为指导，全面贯彻党的十九大和十九届二中、三中、四中全会精神以及党中央国务院、省委省政府、市委市政府以及朝阳区委区政府关于应急管理的重要决策部署，紧紧围绕统筹推进“五位一体”总体布局和协调推进“四个全面”战略布局，以坚持和完善中国特色社会主义制度、推进国家治理体系和治理能力现代化为根本遵循，以人民为中心，以新时代应急管理部门职责为核心，以预防灾害、化解风险为主线，以“以防为主、防抗救相结合”为基本方针，以“创新、协调、绿色、开放、共享”为发展理念，以服务朝阳区地方经济社会发展为根本目标，</w:t>
      </w:r>
      <w:r>
        <w:rPr>
          <w:rFonts w:ascii="仿宋" w:hAnsi="仿宋" w:eastAsia="仿宋" w:cs="仿宋"/>
          <w:sz w:val="32"/>
          <w:szCs w:val="32"/>
          <w:shd w:val="clear" w:color="auto" w:fill="FFFFFF"/>
        </w:rPr>
        <w:t>重点解决制约</w:t>
      </w:r>
      <w:r>
        <w:rPr>
          <w:rFonts w:hint="eastAsia" w:ascii="仿宋" w:hAnsi="仿宋" w:eastAsia="仿宋" w:cs="仿宋"/>
          <w:sz w:val="32"/>
          <w:szCs w:val="32"/>
          <w:shd w:val="clear" w:color="auto" w:fill="FFFFFF"/>
        </w:rPr>
        <w:t>长春市朝阳区</w:t>
      </w:r>
      <w:r>
        <w:rPr>
          <w:rFonts w:ascii="仿宋" w:hAnsi="仿宋" w:eastAsia="仿宋" w:cs="仿宋"/>
          <w:sz w:val="32"/>
          <w:szCs w:val="32"/>
          <w:shd w:val="clear" w:color="auto" w:fill="FFFFFF"/>
        </w:rPr>
        <w:t>应急管理</w:t>
      </w:r>
      <w:r>
        <w:rPr>
          <w:rFonts w:hint="eastAsia" w:ascii="仿宋" w:hAnsi="仿宋" w:eastAsia="仿宋" w:cs="仿宋"/>
          <w:sz w:val="32"/>
          <w:szCs w:val="32"/>
          <w:shd w:val="clear" w:color="auto" w:fill="FFFFFF"/>
        </w:rPr>
        <w:t>事业发展</w:t>
      </w:r>
      <w:r>
        <w:rPr>
          <w:rFonts w:ascii="仿宋" w:hAnsi="仿宋" w:eastAsia="仿宋" w:cs="仿宋"/>
          <w:sz w:val="32"/>
          <w:szCs w:val="32"/>
        </w:rPr>
        <w:t>的关键性、基</w:t>
      </w:r>
      <w:r>
        <w:rPr>
          <w:rFonts w:ascii="仿宋" w:hAnsi="仿宋" w:eastAsia="仿宋" w:cs="仿宋"/>
          <w:sz w:val="32"/>
          <w:szCs w:val="32"/>
          <w:shd w:val="clear" w:color="auto" w:fill="FFFFFF"/>
        </w:rPr>
        <w:t>础性、共性问题，着力建机制、补短板、强能力、促协同</w:t>
      </w:r>
      <w:r>
        <w:rPr>
          <w:rFonts w:hint="eastAsia" w:ascii="仿宋" w:hAnsi="仿宋" w:eastAsia="仿宋" w:cs="仿宋"/>
          <w:sz w:val="32"/>
          <w:szCs w:val="32"/>
          <w:shd w:val="clear" w:color="auto" w:fill="FFFFFF"/>
        </w:rPr>
        <w:t>。从强调全灾种管理到重视全流程管理，从实现“全覆盖”到追求“深入有效”，即突破传统的突发事件全灾种格局，以自然灾害、事故灾难为重点领域，以突发事件事前、事中、事后处置全流程为线索，加快应急管理体制机制法制建设，强化应急管理全方位能力体系建设，并结合朝阳区实际，通过顶层设计，优化结构，规划设置应急管理领域重点工程，全力以赴抓好安全生产和自然灾害风险的管控，千方百计防止安全生产隐患演变成事故、防止自然灾害风险演变成灾难，切实提升朝阳区应急管理能力和水平，扛起安民护民的职责使命，结合新时代应急管理创新发展的主要趋势，构建朝阳区应急管理体系，为朝阳区全面振兴提供安全保障。</w:t>
      </w:r>
    </w:p>
    <w:p>
      <w:pPr>
        <w:keepNext/>
        <w:keepLines/>
        <w:spacing w:before="60" w:after="60" w:line="660" w:lineRule="exact"/>
        <w:outlineLvl w:val="1"/>
        <w:rPr>
          <w:rFonts w:ascii="仿宋" w:hAnsi="仿宋" w:eastAsia="仿宋"/>
          <w:b/>
          <w:bCs/>
          <w:sz w:val="32"/>
          <w:szCs w:val="32"/>
        </w:rPr>
      </w:pPr>
      <w:bookmarkStart w:id="10" w:name="_Toc53434454"/>
      <w:r>
        <w:rPr>
          <w:rFonts w:hint="eastAsia" w:ascii="仿宋" w:hAnsi="仿宋" w:eastAsia="仿宋"/>
          <w:b/>
          <w:bCs/>
          <w:sz w:val="32"/>
          <w:szCs w:val="32"/>
        </w:rPr>
        <w:t>（二）基本原则</w:t>
      </w:r>
      <w:bookmarkEnd w:id="10"/>
    </w:p>
    <w:p>
      <w:pPr>
        <w:pStyle w:val="2"/>
        <w:spacing w:line="66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1.统一领导，分级管理。</w:t>
      </w:r>
      <w:r>
        <w:rPr>
          <w:rFonts w:hint="eastAsia" w:ascii="仿宋" w:hAnsi="仿宋" w:eastAsia="仿宋" w:cs="仿宋"/>
          <w:kern w:val="0"/>
          <w:sz w:val="32"/>
          <w:szCs w:val="32"/>
        </w:rPr>
        <w:t>充分发挥党委政府的领导和主导作用，按照分级负责、属地管理原则，发挥就近应急的作用，明确乡镇（街道）应急管理职责和村（社区）应急管理工作内容，健全完善横向到边、纵向到底的应急管理体系，形成上下贯通、协调一致、各负其责、齐抓共管的工作格局。</w:t>
      </w:r>
    </w:p>
    <w:p>
      <w:pPr>
        <w:pStyle w:val="2"/>
        <w:spacing w:line="660" w:lineRule="exact"/>
        <w:ind w:firstLine="643" w:firstLineChars="200"/>
        <w:rPr>
          <w:rFonts w:ascii="仿宋" w:hAnsi="仿宋" w:eastAsia="仿宋" w:cs="仿宋"/>
          <w:kern w:val="0"/>
          <w:sz w:val="32"/>
          <w:szCs w:val="32"/>
        </w:rPr>
      </w:pPr>
      <w:r>
        <w:rPr>
          <w:rFonts w:ascii="仿宋" w:hAnsi="仿宋" w:eastAsia="仿宋" w:cs="仿宋"/>
          <w:b/>
          <w:bCs/>
          <w:kern w:val="0"/>
          <w:sz w:val="32"/>
          <w:szCs w:val="32"/>
        </w:rPr>
        <w:t>2.</w:t>
      </w:r>
      <w:r>
        <w:rPr>
          <w:rFonts w:hint="eastAsia" w:ascii="仿宋" w:hAnsi="仿宋" w:eastAsia="仿宋" w:cs="仿宋"/>
          <w:b/>
          <w:bCs/>
          <w:kern w:val="0"/>
          <w:sz w:val="32"/>
          <w:szCs w:val="32"/>
        </w:rPr>
        <w:t>以人为本，协同推进。</w:t>
      </w:r>
      <w:r>
        <w:rPr>
          <w:rFonts w:hint="eastAsia" w:ascii="仿宋" w:hAnsi="仿宋" w:eastAsia="仿宋" w:cs="仿宋"/>
          <w:kern w:val="0"/>
          <w:sz w:val="32"/>
          <w:szCs w:val="32"/>
        </w:rPr>
        <w:t>牢固树立以人民为中心的发展思想，时刻把人民生命财产安全放在第一位。正确处理好安全与发展、安全与效益的关系，协调发展，严防底线，提质增效。</w:t>
      </w:r>
    </w:p>
    <w:p>
      <w:pPr>
        <w:pStyle w:val="2"/>
        <w:spacing w:line="660" w:lineRule="exact"/>
        <w:ind w:firstLine="643" w:firstLineChars="200"/>
        <w:rPr>
          <w:rFonts w:ascii="仿宋" w:hAnsi="仿宋" w:eastAsia="仿宋" w:cs="仿宋"/>
          <w:kern w:val="0"/>
          <w:sz w:val="32"/>
          <w:szCs w:val="32"/>
        </w:rPr>
      </w:pPr>
      <w:bookmarkStart w:id="11" w:name="_Toc46479852"/>
      <w:r>
        <w:rPr>
          <w:rFonts w:ascii="仿宋" w:hAnsi="仿宋" w:eastAsia="仿宋" w:cs="仿宋"/>
          <w:b/>
          <w:bCs/>
          <w:kern w:val="0"/>
          <w:sz w:val="32"/>
          <w:szCs w:val="32"/>
        </w:rPr>
        <w:t>3.预防为主，源头管控</w:t>
      </w:r>
      <w:bookmarkEnd w:id="11"/>
      <w:r>
        <w:rPr>
          <w:rFonts w:ascii="仿宋" w:hAnsi="仿宋" w:eastAsia="仿宋" w:cs="仿宋"/>
          <w:b/>
          <w:bCs/>
          <w:kern w:val="0"/>
          <w:sz w:val="32"/>
          <w:szCs w:val="32"/>
        </w:rPr>
        <w:t>。</w:t>
      </w:r>
      <w:r>
        <w:rPr>
          <w:rFonts w:ascii="仿宋" w:hAnsi="仿宋" w:eastAsia="仿宋" w:cs="仿宋"/>
          <w:kern w:val="0"/>
          <w:sz w:val="32"/>
          <w:szCs w:val="32"/>
        </w:rPr>
        <w:t>实施安全发展战略，严格安全生产市场准入，不断完善风险分级管控和隐患排查治理双重预防机制，强化自然灾害监测预警、工程防御、宣传教育、社区减灾等基础性工作，有效控制事故灾害风险。</w:t>
      </w:r>
    </w:p>
    <w:p>
      <w:pPr>
        <w:pStyle w:val="2"/>
        <w:spacing w:line="660" w:lineRule="exact"/>
        <w:ind w:firstLine="643" w:firstLineChars="200"/>
        <w:rPr>
          <w:rFonts w:ascii="仿宋" w:hAnsi="仿宋" w:eastAsia="仿宋" w:cs="仿宋"/>
          <w:kern w:val="0"/>
          <w:sz w:val="32"/>
          <w:szCs w:val="32"/>
        </w:rPr>
      </w:pPr>
      <w:r>
        <w:rPr>
          <w:rFonts w:ascii="仿宋" w:hAnsi="仿宋" w:eastAsia="仿宋" w:cs="仿宋"/>
          <w:b/>
          <w:bCs/>
          <w:kern w:val="0"/>
          <w:sz w:val="32"/>
          <w:szCs w:val="32"/>
        </w:rPr>
        <w:t>4</w:t>
      </w:r>
      <w:r>
        <w:rPr>
          <w:rFonts w:hint="eastAsia" w:ascii="仿宋" w:hAnsi="仿宋" w:eastAsia="仿宋" w:cs="仿宋"/>
          <w:b/>
          <w:bCs/>
          <w:kern w:val="0"/>
          <w:sz w:val="32"/>
          <w:szCs w:val="32"/>
        </w:rPr>
        <w:t>.问题导向，精准治理。</w:t>
      </w:r>
      <w:r>
        <w:rPr>
          <w:rFonts w:hint="eastAsia" w:ascii="仿宋" w:hAnsi="仿宋" w:eastAsia="仿宋" w:cs="仿宋"/>
          <w:kern w:val="0"/>
          <w:sz w:val="32"/>
          <w:szCs w:val="32"/>
        </w:rPr>
        <w:t>着眼最严峻最复杂局面，深入研究灾害、事件发生发展的动态演化规律，以问题为导向，有针对性地做好各项应急准备。尊重自然、尊重规律，从实际出发，创新科技手段和方法，精准施策，提升应急管理科学化水平。</w:t>
      </w:r>
    </w:p>
    <w:p>
      <w:pPr>
        <w:spacing w:line="660" w:lineRule="exact"/>
        <w:ind w:firstLine="643" w:firstLineChars="200"/>
        <w:rPr>
          <w:rFonts w:ascii="仿宋" w:hAnsi="仿宋" w:eastAsia="仿宋" w:cs="仿宋"/>
          <w:kern w:val="0"/>
          <w:sz w:val="32"/>
          <w:szCs w:val="32"/>
        </w:rPr>
      </w:pPr>
      <w:r>
        <w:rPr>
          <w:rFonts w:ascii="仿宋" w:hAnsi="仿宋" w:eastAsia="仿宋" w:cs="仿宋"/>
          <w:b/>
          <w:bCs/>
          <w:kern w:val="0"/>
          <w:sz w:val="32"/>
          <w:szCs w:val="32"/>
        </w:rPr>
        <w:t>5</w:t>
      </w:r>
      <w:r>
        <w:rPr>
          <w:rFonts w:hint="eastAsia" w:ascii="仿宋" w:hAnsi="仿宋" w:eastAsia="仿宋" w:cs="仿宋"/>
          <w:b/>
          <w:bCs/>
          <w:kern w:val="0"/>
          <w:sz w:val="32"/>
          <w:szCs w:val="32"/>
        </w:rPr>
        <w:t>.资源整合，共建共治。</w:t>
      </w:r>
      <w:r>
        <w:rPr>
          <w:rFonts w:hint="eastAsia" w:ascii="仿宋" w:hAnsi="仿宋" w:eastAsia="仿宋" w:cs="仿宋"/>
          <w:kern w:val="0"/>
          <w:sz w:val="32"/>
          <w:szCs w:val="32"/>
        </w:rPr>
        <w:t>完善信息和资源共享机制，提高核心应急救援能力、重大灾害预警能力、重大风险化解能力、战略整合能力和协同应对能力。</w:t>
      </w:r>
      <w:r>
        <w:rPr>
          <w:rFonts w:hint="eastAsia" w:ascii="仿宋" w:hAnsi="仿宋" w:eastAsia="仿宋" w:cs="仿宋"/>
          <w:sz w:val="32"/>
          <w:szCs w:val="32"/>
        </w:rPr>
        <w:t>充分发挥科研院校、专业机构、金融保险等市场机制作用，提高应急管理全链条社会化参与程度，实现社会共治、责任共担、安全共享。</w:t>
      </w:r>
    </w:p>
    <w:p>
      <w:pPr>
        <w:pStyle w:val="2"/>
        <w:spacing w:line="660" w:lineRule="exact"/>
        <w:ind w:firstLine="643" w:firstLineChars="200"/>
        <w:rPr>
          <w:rFonts w:ascii="仿宋" w:hAnsi="仿宋" w:eastAsia="仿宋" w:cs="仿宋"/>
          <w:sz w:val="32"/>
          <w:szCs w:val="32"/>
        </w:rPr>
      </w:pPr>
      <w:r>
        <w:rPr>
          <w:rFonts w:ascii="仿宋" w:hAnsi="仿宋" w:eastAsia="仿宋" w:cs="仿宋"/>
          <w:b/>
          <w:bCs/>
          <w:kern w:val="0"/>
          <w:sz w:val="32"/>
          <w:szCs w:val="32"/>
        </w:rPr>
        <w:t>6</w:t>
      </w:r>
      <w:r>
        <w:rPr>
          <w:rFonts w:hint="eastAsia" w:ascii="仿宋" w:hAnsi="仿宋" w:eastAsia="仿宋" w:cs="仿宋"/>
          <w:b/>
          <w:bCs/>
          <w:kern w:val="0"/>
          <w:sz w:val="32"/>
          <w:szCs w:val="32"/>
        </w:rPr>
        <w:t>.夯实基础，法治保障。</w:t>
      </w:r>
      <w:r>
        <w:rPr>
          <w:rFonts w:hint="eastAsia" w:ascii="仿宋" w:hAnsi="仿宋" w:eastAsia="仿宋" w:cs="仿宋"/>
          <w:kern w:val="0"/>
          <w:sz w:val="32"/>
          <w:szCs w:val="32"/>
        </w:rPr>
        <w:t>以基层治理改革为契机，增强基层力量在安全生产、应急管理和防灾减灾救灾方面的基础防线作用，打</w:t>
      </w:r>
      <w:r>
        <w:rPr>
          <w:rFonts w:hint="eastAsia" w:ascii="仿宋" w:hAnsi="仿宋" w:eastAsia="仿宋" w:cs="仿宋"/>
          <w:sz w:val="32"/>
          <w:szCs w:val="32"/>
        </w:rPr>
        <w:t>通安全治理与应急管理“最后一公里”。完善法规制度体系，强化标准规范体系，健全依法决策机制。</w:t>
      </w:r>
    </w:p>
    <w:p>
      <w:pPr>
        <w:keepNext/>
        <w:keepLines/>
        <w:spacing w:before="60" w:after="60" w:line="660" w:lineRule="exact"/>
        <w:outlineLvl w:val="1"/>
        <w:rPr>
          <w:rFonts w:ascii="仿宋" w:hAnsi="仿宋" w:eastAsia="仿宋"/>
          <w:b/>
          <w:bCs/>
          <w:sz w:val="32"/>
          <w:szCs w:val="32"/>
        </w:rPr>
      </w:pPr>
      <w:bookmarkStart w:id="12" w:name="_Toc53434455"/>
      <w:r>
        <w:rPr>
          <w:rFonts w:ascii="仿宋" w:hAnsi="仿宋" w:eastAsia="仿宋"/>
          <w:b/>
          <w:bCs/>
          <w:sz w:val="32"/>
          <w:szCs w:val="32"/>
        </w:rPr>
        <w:t>（</w:t>
      </w:r>
      <w:r>
        <w:rPr>
          <w:rFonts w:hint="eastAsia" w:ascii="仿宋" w:hAnsi="仿宋" w:eastAsia="仿宋"/>
          <w:b/>
          <w:bCs/>
          <w:sz w:val="32"/>
          <w:szCs w:val="32"/>
        </w:rPr>
        <w:t>三</w:t>
      </w:r>
      <w:r>
        <w:rPr>
          <w:rFonts w:ascii="仿宋" w:hAnsi="仿宋" w:eastAsia="仿宋"/>
          <w:b/>
          <w:bCs/>
          <w:sz w:val="32"/>
          <w:szCs w:val="32"/>
        </w:rPr>
        <w:t>）规划目标</w:t>
      </w:r>
      <w:bookmarkEnd w:id="12"/>
    </w:p>
    <w:p>
      <w:pPr>
        <w:spacing w:line="660" w:lineRule="exact"/>
        <w:ind w:firstLine="643" w:firstLineChars="200"/>
        <w:rPr>
          <w:rFonts w:ascii="仿宋" w:hAnsi="仿宋" w:eastAsia="仿宋" w:cs="仿宋"/>
          <w:b/>
          <w:kern w:val="0"/>
          <w:sz w:val="32"/>
          <w:szCs w:val="32"/>
        </w:rPr>
      </w:pPr>
      <w:r>
        <w:rPr>
          <w:rFonts w:ascii="仿宋" w:hAnsi="仿宋" w:eastAsia="仿宋" w:cs="仿宋"/>
          <w:b/>
          <w:kern w:val="0"/>
          <w:sz w:val="32"/>
          <w:szCs w:val="32"/>
        </w:rPr>
        <w:t>1.总体目标</w:t>
      </w:r>
    </w:p>
    <w:p>
      <w:pPr>
        <w:spacing w:after="120" w:line="660" w:lineRule="exact"/>
        <w:ind w:firstLine="640" w:firstLineChars="200"/>
        <w:rPr>
          <w:rFonts w:ascii="仿宋" w:hAnsi="仿宋" w:eastAsia="仿宋" w:cs="仿宋"/>
          <w:kern w:val="0"/>
          <w:sz w:val="32"/>
          <w:szCs w:val="32"/>
        </w:rPr>
      </w:pPr>
      <w:r>
        <w:rPr>
          <w:rFonts w:ascii="仿宋" w:hAnsi="仿宋" w:eastAsia="仿宋" w:cs="仿宋"/>
          <w:kern w:val="0"/>
          <w:sz w:val="32"/>
          <w:szCs w:val="32"/>
        </w:rPr>
        <w:t>以习近平新时代中国特色社会主义思想为指导，深入贯彻落实习近平总书记关于安全生产重要论述和考察吉林重要讲话重要指示精神，深刻理解其核心要义、精神实质、丰富内涵、实践要求，树牢安全发展理念，强化红线意识和底线思维，坚守发展决不能以牺牲人的生命为代价这条不可逾越的底线红线，健全落实党政同责、一岗双责、齐抓共管、失职追责的安全生产责任制，强化党委政府领导责任、部门监管责任和企业主体责任，切实解决安全生产责任落实“最后一公里”问题，做到促一方发展、保一方平安。</w:t>
      </w:r>
    </w:p>
    <w:p>
      <w:pPr>
        <w:widowControl/>
        <w:spacing w:line="660" w:lineRule="exact"/>
        <w:ind w:firstLine="640" w:firstLineChars="200"/>
        <w:rPr>
          <w:rFonts w:ascii="仿宋" w:hAnsi="仿宋" w:eastAsia="仿宋"/>
        </w:rPr>
      </w:pPr>
      <w:r>
        <w:rPr>
          <w:rFonts w:ascii="仿宋" w:hAnsi="仿宋" w:eastAsia="仿宋" w:cs="仿宋"/>
          <w:kern w:val="0"/>
          <w:sz w:val="32"/>
          <w:szCs w:val="32"/>
        </w:rPr>
        <w:t>以推进大安全大应急大减灾建设为主线，</w:t>
      </w:r>
      <w:r>
        <w:rPr>
          <w:rFonts w:hint="eastAsia" w:ascii="仿宋" w:hAnsi="仿宋" w:eastAsia="仿宋" w:cs="仿宋"/>
          <w:kern w:val="0"/>
          <w:sz w:val="32"/>
          <w:szCs w:val="32"/>
        </w:rPr>
        <w:t>充分发挥安委会、防汛抗旱指挥部、减灾委等办公室职能，</w:t>
      </w:r>
      <w:r>
        <w:rPr>
          <w:rFonts w:ascii="仿宋" w:hAnsi="仿宋" w:eastAsia="仿宋" w:cs="仿宋"/>
          <w:kern w:val="0"/>
          <w:sz w:val="32"/>
          <w:szCs w:val="32"/>
        </w:rPr>
        <w:t xml:space="preserve"> 进一步强化安全责任、隐患治理、执法监察、预测预警、防灾减灾、应急救援和基础保障体系建设</w:t>
      </w:r>
      <w:r>
        <w:rPr>
          <w:rFonts w:hint="eastAsia" w:ascii="仿宋" w:hAnsi="仿宋" w:eastAsia="仿宋" w:cs="仿宋"/>
          <w:kern w:val="0"/>
          <w:sz w:val="32"/>
          <w:szCs w:val="32"/>
        </w:rPr>
        <w:t>。</w:t>
      </w:r>
      <w:r>
        <w:rPr>
          <w:rFonts w:ascii="仿宋" w:hAnsi="仿宋" w:eastAsia="仿宋" w:cs="仿宋"/>
          <w:kern w:val="0"/>
          <w:sz w:val="32"/>
          <w:szCs w:val="32"/>
        </w:rPr>
        <w:t>到2025年，建成统一指挥、专常兼备、反应灵敏、上下联动、平战结合的应急管理体制，形成统一领导、权责一致、权威高效的应急管理体系。</w:t>
      </w:r>
      <w:r>
        <w:rPr>
          <w:rFonts w:hint="eastAsia" w:ascii="仿宋" w:hAnsi="仿宋" w:eastAsia="仿宋" w:cs="仿宋"/>
          <w:kern w:val="0"/>
          <w:sz w:val="32"/>
          <w:szCs w:val="32"/>
        </w:rPr>
        <w:t>全区</w:t>
      </w:r>
      <w:r>
        <w:rPr>
          <w:rFonts w:ascii="仿宋" w:hAnsi="仿宋" w:eastAsia="仿宋" w:cs="仿宋"/>
          <w:kern w:val="0"/>
          <w:sz w:val="32"/>
          <w:szCs w:val="32"/>
        </w:rPr>
        <w:t>应急管理的系统性、整体性、协同性显著增强，应急响应、指挥、处置能力和基层基础保障能力显著提升</w:t>
      </w:r>
      <w:r>
        <w:rPr>
          <w:rFonts w:hint="eastAsia" w:ascii="仿宋" w:hAnsi="仿宋" w:eastAsia="仿宋" w:cs="仿宋"/>
          <w:kern w:val="0"/>
          <w:sz w:val="32"/>
          <w:szCs w:val="32"/>
        </w:rPr>
        <w:t>。核心应急救援能力显著增强，综合应急保障能力全面加强，基本实现应急管理能力现代化。能够有效防范化解重大安全风险，灾害事故总量持续下降，重特大灾害事故得到根本遏制，较大及一般灾害事故持续下降。</w:t>
      </w:r>
    </w:p>
    <w:p>
      <w:pPr>
        <w:spacing w:line="660" w:lineRule="exact"/>
        <w:ind w:firstLine="643" w:firstLineChars="200"/>
        <w:rPr>
          <w:rFonts w:ascii="仿宋" w:hAnsi="仿宋" w:eastAsia="仿宋" w:cs="仿宋"/>
          <w:b/>
          <w:kern w:val="0"/>
          <w:sz w:val="32"/>
          <w:szCs w:val="32"/>
        </w:rPr>
      </w:pPr>
      <w:r>
        <w:rPr>
          <w:rFonts w:ascii="仿宋" w:hAnsi="仿宋" w:eastAsia="仿宋" w:cs="仿宋"/>
          <w:b/>
          <w:kern w:val="0"/>
          <w:sz w:val="32"/>
          <w:szCs w:val="32"/>
        </w:rPr>
        <w:t>2.分类目标</w:t>
      </w:r>
    </w:p>
    <w:p>
      <w:pPr>
        <w:widowControl/>
        <w:spacing w:line="66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应急管理方面：</w:t>
      </w:r>
      <w:r>
        <w:rPr>
          <w:rFonts w:hint="eastAsia" w:ascii="仿宋" w:hAnsi="仿宋" w:eastAsia="仿宋" w:cs="仿宋"/>
          <w:kern w:val="0"/>
          <w:sz w:val="32"/>
          <w:szCs w:val="32"/>
        </w:rPr>
        <w:t>坚持党对应急工作的领导，完善应急管理机制，落实应急管理责任，深化应急管理体系建设。加强基础设施配套，积极推进应急指挥中心建设，强化应急指挥能力提升。探索人才引入机制，着力解决应急管理人才短缺问题。落实专业救援队伍和救援装备，完善应急预案体系并强化应急演练，培育支持社会救援力量健康有序发展，不断增强应急实战能力。推进应急避难场所建设，完善应急物资保障体系，推进应急物资建设和管理，加强信息发布和舆情引导。强化宣教体系建设，提升全民整体安全素质。</w:t>
      </w:r>
      <w:r>
        <w:rPr>
          <w:rFonts w:ascii="仿宋" w:hAnsi="仿宋" w:eastAsia="仿宋" w:cs="仿宋"/>
          <w:kern w:val="0"/>
          <w:sz w:val="32"/>
          <w:szCs w:val="32"/>
        </w:rPr>
        <w:t>到2025年，</w:t>
      </w:r>
      <w:r>
        <w:rPr>
          <w:rFonts w:hint="eastAsia" w:ascii="仿宋" w:hAnsi="仿宋" w:eastAsia="仿宋" w:cs="仿宋"/>
          <w:kern w:val="0"/>
          <w:sz w:val="32"/>
          <w:szCs w:val="32"/>
        </w:rPr>
        <w:t>应急管理工作机制更加完善，应急预案管理更加规范，针对性、可操作性更强，应急管理与应急救援队伍得到有效扩充。应急救援装备配备与实际工作需要适应，应急服务站（点）建设基本实现基层全覆盖，</w:t>
      </w:r>
      <w:r>
        <w:rPr>
          <w:rFonts w:ascii="仿宋" w:hAnsi="仿宋" w:eastAsia="仿宋" w:cs="仿宋"/>
          <w:kern w:val="0"/>
          <w:sz w:val="32"/>
          <w:szCs w:val="32"/>
        </w:rPr>
        <w:t>全面形成应急管理信息化体系</w:t>
      </w:r>
      <w:r>
        <w:rPr>
          <w:rFonts w:hint="eastAsia" w:ascii="仿宋" w:hAnsi="仿宋" w:eastAsia="仿宋" w:cs="仿宋"/>
          <w:kern w:val="0"/>
          <w:sz w:val="32"/>
          <w:szCs w:val="32"/>
        </w:rPr>
        <w:t>，应急管理能力持续提升</w:t>
      </w:r>
      <w:r>
        <w:rPr>
          <w:rFonts w:ascii="仿宋" w:hAnsi="仿宋" w:eastAsia="仿宋" w:cs="仿宋"/>
          <w:kern w:val="0"/>
          <w:sz w:val="32"/>
          <w:szCs w:val="32"/>
        </w:rPr>
        <w:t>。</w:t>
      </w:r>
    </w:p>
    <w:p>
      <w:pPr>
        <w:spacing w:line="660" w:lineRule="exact"/>
        <w:ind w:firstLine="643" w:firstLineChars="200"/>
        <w:rPr>
          <w:rFonts w:ascii="仿宋" w:hAnsi="仿宋" w:eastAsia="仿宋" w:cs="仿宋"/>
          <w:kern w:val="0"/>
          <w:sz w:val="32"/>
          <w:szCs w:val="32"/>
        </w:rPr>
      </w:pPr>
      <w:r>
        <w:rPr>
          <w:rFonts w:ascii="仿宋" w:hAnsi="仿宋" w:eastAsia="仿宋" w:cs="仿宋"/>
          <w:b/>
          <w:bCs/>
          <w:kern w:val="0"/>
          <w:sz w:val="32"/>
          <w:szCs w:val="32"/>
        </w:rPr>
        <w:t>安全生产方面：</w:t>
      </w:r>
      <w:r>
        <w:rPr>
          <w:rFonts w:hint="eastAsia" w:ascii="仿宋" w:hAnsi="仿宋" w:eastAsia="仿宋" w:cs="仿宋"/>
          <w:kern w:val="0"/>
          <w:sz w:val="32"/>
          <w:szCs w:val="32"/>
        </w:rPr>
        <w:t>认真贯彻安全生产“三个必须”原则，“管行业必须管安全、管业务必须管安全、管生产经营必须管安全”，持续完善安全生产网格化管理水平。强化风险隐患排查治理和双重预防机制建设。加大安全生产专项整治三年行动工作力度，做好集中攻坚和巩固提升。加强安全生产监督检查，加大安全监管执法力度。</w:t>
      </w:r>
      <w:r>
        <w:rPr>
          <w:rFonts w:ascii="仿宋" w:hAnsi="仿宋" w:eastAsia="仿宋" w:cs="仿宋"/>
          <w:kern w:val="0"/>
          <w:sz w:val="32"/>
          <w:szCs w:val="32"/>
        </w:rPr>
        <w:t>到2025年，</w:t>
      </w:r>
      <w:r>
        <w:rPr>
          <w:rFonts w:hint="eastAsia" w:ascii="仿宋" w:hAnsi="仿宋" w:eastAsia="仿宋" w:cs="仿宋"/>
          <w:kern w:val="0"/>
          <w:sz w:val="32"/>
          <w:szCs w:val="32"/>
        </w:rPr>
        <w:t>全区</w:t>
      </w:r>
      <w:r>
        <w:rPr>
          <w:rFonts w:ascii="仿宋" w:hAnsi="仿宋" w:eastAsia="仿宋" w:cs="仿宋"/>
          <w:kern w:val="0"/>
          <w:sz w:val="32"/>
          <w:szCs w:val="32"/>
        </w:rPr>
        <w:t>安全生产综合管理能力显著提升，安全生产基层基础保障能力明显增强，监管体制机制基本完善，生产安全事故控制指标</w:t>
      </w:r>
      <w:r>
        <w:rPr>
          <w:rFonts w:hint="eastAsia" w:ascii="仿宋" w:hAnsi="仿宋" w:eastAsia="仿宋" w:cs="仿宋"/>
          <w:kern w:val="0"/>
          <w:sz w:val="32"/>
          <w:szCs w:val="32"/>
        </w:rPr>
        <w:t>持续向好。</w:t>
      </w:r>
    </w:p>
    <w:p>
      <w:pPr>
        <w:spacing w:line="660" w:lineRule="exact"/>
        <w:ind w:firstLine="643" w:firstLineChars="200"/>
        <w:rPr>
          <w:rFonts w:ascii="仿宋" w:hAnsi="仿宋" w:eastAsia="仿宋" w:cs="仿宋"/>
          <w:kern w:val="0"/>
          <w:sz w:val="32"/>
          <w:szCs w:val="32"/>
        </w:rPr>
      </w:pPr>
      <w:r>
        <w:rPr>
          <w:rFonts w:ascii="仿宋" w:hAnsi="仿宋" w:eastAsia="仿宋" w:cs="仿宋"/>
          <w:b/>
          <w:kern w:val="0"/>
          <w:sz w:val="32"/>
          <w:szCs w:val="32"/>
        </w:rPr>
        <w:t>防灾减灾方面：</w:t>
      </w:r>
      <w:r>
        <w:rPr>
          <w:rFonts w:hint="eastAsia" w:ascii="仿宋" w:hAnsi="仿宋" w:eastAsia="仿宋" w:cs="仿宋"/>
          <w:kern w:val="0"/>
          <w:sz w:val="32"/>
          <w:szCs w:val="32"/>
        </w:rPr>
        <w:t>遵循“两个坚持”和“三个转变”，开展自然灾害综合普查，强化自然灾害综合监测预警。建立健全灾害救助平台，完善自然灾害应急救助体系建设。加强物资储备，强化责任落实，扎实做好防汛抗旱。强化科技引领，整合各方资源，推动信息化建设，不断提升灾害防治科技化水平。统筹协调各方力量和资源，指导做好抢险救灾工作，全力保障人民群众生命财产安全和社会稳定。</w:t>
      </w:r>
      <w:r>
        <w:rPr>
          <w:rFonts w:ascii="仿宋" w:hAnsi="仿宋" w:eastAsia="仿宋" w:cs="仿宋"/>
          <w:kern w:val="0"/>
          <w:sz w:val="32"/>
          <w:szCs w:val="32"/>
        </w:rPr>
        <w:t>到2025年，减灾救灾体制机制进一步健全，</w:t>
      </w:r>
      <w:r>
        <w:rPr>
          <w:rFonts w:hint="eastAsia" w:ascii="仿宋" w:hAnsi="仿宋" w:eastAsia="仿宋" w:cs="仿宋"/>
          <w:kern w:val="0"/>
          <w:sz w:val="32"/>
          <w:szCs w:val="32"/>
        </w:rPr>
        <w:t>防灾减灾</w:t>
      </w:r>
      <w:r>
        <w:rPr>
          <w:rFonts w:ascii="仿宋" w:hAnsi="仿宋" w:eastAsia="仿宋" w:cs="仿宋"/>
          <w:kern w:val="0"/>
          <w:sz w:val="32"/>
          <w:szCs w:val="32"/>
        </w:rPr>
        <w:t>基</w:t>
      </w:r>
      <w:r>
        <w:rPr>
          <w:rFonts w:hint="eastAsia" w:ascii="仿宋" w:hAnsi="仿宋" w:eastAsia="仿宋" w:cs="仿宋"/>
          <w:kern w:val="0"/>
          <w:sz w:val="32"/>
          <w:szCs w:val="32"/>
        </w:rPr>
        <w:t>础不断完善，基</w:t>
      </w:r>
      <w:r>
        <w:rPr>
          <w:rFonts w:ascii="仿宋" w:hAnsi="仿宋" w:eastAsia="仿宋" w:cs="仿宋"/>
          <w:kern w:val="0"/>
          <w:sz w:val="32"/>
          <w:szCs w:val="32"/>
        </w:rPr>
        <w:t>本建成与全面小康社会相适应的自然灾害预警、救助体系。</w:t>
      </w:r>
      <w:r>
        <w:rPr>
          <w:rFonts w:hint="eastAsia" w:ascii="仿宋" w:hAnsi="仿宋" w:eastAsia="仿宋" w:cs="仿宋"/>
          <w:kern w:val="0"/>
          <w:sz w:val="32"/>
          <w:szCs w:val="32"/>
        </w:rPr>
        <w:t>通过努力，力争灾害事故信息及时上报率达到100%，灾害事故信息发布公众覆盖率达到100%，灾害事故发生后受灾人员基本生活有效救助时间缩短至8小时以内，</w:t>
      </w:r>
      <w:bookmarkStart w:id="13" w:name="_Hlk52909747"/>
      <w:r>
        <w:rPr>
          <w:rFonts w:hint="eastAsia" w:ascii="仿宋" w:hAnsi="仿宋" w:eastAsia="仿宋" w:cs="仿宋"/>
          <w:kern w:val="0"/>
          <w:sz w:val="32"/>
          <w:szCs w:val="32"/>
        </w:rPr>
        <w:t>新增国家或省级综合防灾减灾示范社区</w:t>
      </w:r>
      <w:r>
        <w:rPr>
          <w:rFonts w:ascii="仿宋" w:hAnsi="仿宋" w:eastAsia="仿宋" w:cs="仿宋"/>
          <w:kern w:val="0"/>
          <w:sz w:val="32"/>
          <w:szCs w:val="32"/>
        </w:rPr>
        <w:t>2</w:t>
      </w:r>
      <w:r>
        <w:rPr>
          <w:rFonts w:hint="eastAsia" w:ascii="仿宋" w:hAnsi="仿宋" w:eastAsia="仿宋" w:cs="仿宋"/>
          <w:kern w:val="0"/>
          <w:sz w:val="32"/>
          <w:szCs w:val="32"/>
        </w:rPr>
        <w:t>-</w:t>
      </w:r>
      <w:r>
        <w:rPr>
          <w:rFonts w:ascii="仿宋" w:hAnsi="仿宋" w:eastAsia="仿宋" w:cs="仿宋"/>
          <w:kern w:val="0"/>
          <w:sz w:val="32"/>
          <w:szCs w:val="32"/>
        </w:rPr>
        <w:t>3</w:t>
      </w:r>
      <w:r>
        <w:rPr>
          <w:rFonts w:hint="eastAsia" w:ascii="仿宋" w:hAnsi="仿宋" w:eastAsia="仿宋" w:cs="仿宋"/>
          <w:kern w:val="0"/>
          <w:sz w:val="32"/>
          <w:szCs w:val="32"/>
        </w:rPr>
        <w:t>个，建设配套完善的集中安置点1-</w:t>
      </w:r>
      <w:r>
        <w:rPr>
          <w:rFonts w:ascii="仿宋" w:hAnsi="仿宋" w:eastAsia="仿宋" w:cs="仿宋"/>
          <w:kern w:val="0"/>
          <w:sz w:val="32"/>
          <w:szCs w:val="32"/>
        </w:rPr>
        <w:t>2</w:t>
      </w:r>
      <w:r>
        <w:rPr>
          <w:rFonts w:hint="eastAsia" w:ascii="仿宋" w:hAnsi="仿宋" w:eastAsia="仿宋" w:cs="仿宋"/>
          <w:kern w:val="0"/>
          <w:sz w:val="32"/>
          <w:szCs w:val="32"/>
        </w:rPr>
        <w:t>个。</w:t>
      </w:r>
    </w:p>
    <w:p>
      <w:pPr>
        <w:pStyle w:val="2"/>
        <w:spacing w:line="660" w:lineRule="exact"/>
        <w:rPr>
          <w:rFonts w:ascii="仿宋" w:hAnsi="仿宋" w:eastAsia="仿宋"/>
        </w:rPr>
      </w:pPr>
    </w:p>
    <w:p>
      <w:pPr>
        <w:spacing w:line="660" w:lineRule="exact"/>
        <w:rPr>
          <w:rFonts w:ascii="仿宋" w:hAnsi="仿宋" w:eastAsia="仿宋"/>
        </w:rPr>
      </w:pPr>
    </w:p>
    <w:p>
      <w:pPr>
        <w:pStyle w:val="2"/>
        <w:spacing w:line="660" w:lineRule="exact"/>
        <w:rPr>
          <w:rFonts w:ascii="仿宋" w:hAnsi="仿宋" w:eastAsia="仿宋"/>
        </w:rPr>
      </w:pPr>
    </w:p>
    <w:p>
      <w:pPr>
        <w:spacing w:line="660" w:lineRule="exact"/>
        <w:rPr>
          <w:rFonts w:ascii="仿宋" w:hAnsi="仿宋" w:eastAsia="仿宋"/>
        </w:rPr>
      </w:pPr>
    </w:p>
    <w:p>
      <w:pPr>
        <w:spacing w:line="660" w:lineRule="exact"/>
        <w:rPr>
          <w:rFonts w:ascii="仿宋" w:hAnsi="仿宋" w:eastAsia="仿宋"/>
        </w:rPr>
      </w:pPr>
    </w:p>
    <w:p>
      <w:pPr>
        <w:pStyle w:val="2"/>
        <w:rPr>
          <w:rFonts w:ascii="仿宋" w:hAnsi="仿宋" w:eastAsia="仿宋"/>
        </w:rPr>
      </w:pPr>
    </w:p>
    <w:p>
      <w:pPr>
        <w:rPr>
          <w:rFonts w:ascii="仿宋" w:hAnsi="仿宋" w:eastAsia="仿宋"/>
        </w:rPr>
      </w:pPr>
    </w:p>
    <w:p>
      <w:pPr>
        <w:pStyle w:val="2"/>
        <w:rPr>
          <w:rFonts w:ascii="仿宋" w:hAnsi="仿宋" w:eastAsia="仿宋"/>
        </w:rPr>
      </w:pPr>
    </w:p>
    <w:p>
      <w:pPr>
        <w:rPr>
          <w:rFonts w:ascii="仿宋" w:hAnsi="仿宋" w:eastAsia="仿宋"/>
        </w:rPr>
      </w:pPr>
    </w:p>
    <w:p>
      <w:pPr>
        <w:pStyle w:val="2"/>
        <w:rPr>
          <w:rFonts w:ascii="仿宋" w:hAnsi="仿宋" w:eastAsia="仿宋"/>
        </w:rPr>
      </w:pPr>
    </w:p>
    <w:p>
      <w:pPr>
        <w:rPr>
          <w:rFonts w:ascii="仿宋" w:hAnsi="仿宋" w:eastAsia="仿宋"/>
        </w:rPr>
      </w:pPr>
    </w:p>
    <w:p>
      <w:pPr>
        <w:pStyle w:val="2"/>
        <w:rPr>
          <w:rFonts w:ascii="仿宋" w:hAnsi="仿宋" w:eastAsia="仿宋"/>
        </w:rPr>
      </w:pPr>
    </w:p>
    <w:p>
      <w:pPr>
        <w:rPr>
          <w:rFonts w:ascii="仿宋" w:hAnsi="仿宋" w:eastAsia="仿宋"/>
        </w:rPr>
      </w:pPr>
    </w:p>
    <w:p>
      <w:pPr>
        <w:pStyle w:val="2"/>
        <w:rPr>
          <w:rFonts w:ascii="仿宋" w:hAnsi="仿宋" w:eastAsia="仿宋"/>
        </w:rPr>
      </w:pPr>
    </w:p>
    <w:p>
      <w:pPr>
        <w:rPr>
          <w:rFonts w:ascii="仿宋" w:hAnsi="仿宋" w:eastAsia="仿宋"/>
        </w:rPr>
      </w:pPr>
    </w:p>
    <w:p>
      <w:pPr>
        <w:pStyle w:val="2"/>
      </w:pPr>
    </w:p>
    <w:p/>
    <w:p>
      <w:pPr>
        <w:pStyle w:val="2"/>
        <w:rPr>
          <w:rFonts w:hint="eastAsia"/>
        </w:rPr>
      </w:pPr>
    </w:p>
    <w:bookmarkEnd w:id="13"/>
    <w:p>
      <w:pPr>
        <w:spacing w:line="660" w:lineRule="exact"/>
        <w:ind w:firstLine="723" w:firstLineChars="200"/>
        <w:jc w:val="center"/>
        <w:outlineLvl w:val="0"/>
        <w:rPr>
          <w:rFonts w:ascii="仿宋" w:hAnsi="仿宋" w:eastAsia="仿宋"/>
          <w:b/>
          <w:bCs/>
          <w:sz w:val="36"/>
          <w:szCs w:val="36"/>
        </w:rPr>
      </w:pPr>
      <w:bookmarkStart w:id="14" w:name="_Toc53434456"/>
      <w:r>
        <w:rPr>
          <w:rFonts w:ascii="仿宋" w:hAnsi="仿宋" w:eastAsia="仿宋"/>
          <w:b/>
          <w:bCs/>
          <w:sz w:val="36"/>
          <w:szCs w:val="36"/>
        </w:rPr>
        <w:t>三</w:t>
      </w:r>
      <w:r>
        <w:rPr>
          <w:rFonts w:hint="eastAsia" w:ascii="仿宋" w:hAnsi="仿宋" w:eastAsia="仿宋"/>
          <w:b/>
          <w:bCs/>
          <w:sz w:val="36"/>
          <w:szCs w:val="36"/>
        </w:rPr>
        <w:t>、</w:t>
      </w:r>
      <w:r>
        <w:rPr>
          <w:rFonts w:ascii="仿宋" w:hAnsi="仿宋" w:eastAsia="仿宋"/>
          <w:b/>
          <w:bCs/>
          <w:sz w:val="36"/>
          <w:szCs w:val="36"/>
        </w:rPr>
        <w:t>主要任务</w:t>
      </w:r>
      <w:bookmarkEnd w:id="14"/>
    </w:p>
    <w:p>
      <w:pPr>
        <w:keepNext/>
        <w:keepLines/>
        <w:spacing w:before="60" w:after="60" w:line="660" w:lineRule="exact"/>
        <w:outlineLvl w:val="1"/>
        <w:rPr>
          <w:rFonts w:ascii="仿宋" w:hAnsi="仿宋" w:eastAsia="仿宋"/>
          <w:b/>
          <w:bCs/>
          <w:sz w:val="32"/>
          <w:szCs w:val="32"/>
        </w:rPr>
      </w:pPr>
      <w:bookmarkStart w:id="15" w:name="_Toc53434457"/>
      <w:r>
        <w:rPr>
          <w:rFonts w:hint="eastAsia" w:ascii="仿宋" w:hAnsi="仿宋" w:eastAsia="仿宋"/>
          <w:b/>
          <w:bCs/>
          <w:sz w:val="32"/>
          <w:szCs w:val="32"/>
        </w:rPr>
        <w:t>（一）强化应急体系建设，提升应急管理能力</w:t>
      </w:r>
      <w:bookmarkEnd w:id="15"/>
    </w:p>
    <w:p>
      <w:pPr>
        <w:spacing w:line="660" w:lineRule="exact"/>
        <w:ind w:firstLine="643" w:firstLineChars="200"/>
        <w:rPr>
          <w:rFonts w:ascii="仿宋" w:hAnsi="仿宋" w:eastAsia="仿宋" w:cs="仿宋"/>
          <w:b/>
          <w:kern w:val="0"/>
          <w:sz w:val="32"/>
          <w:szCs w:val="32"/>
        </w:rPr>
      </w:pPr>
      <w:r>
        <w:rPr>
          <w:rFonts w:ascii="仿宋" w:hAnsi="仿宋" w:eastAsia="仿宋" w:cs="仿宋"/>
          <w:b/>
          <w:kern w:val="0"/>
          <w:sz w:val="32"/>
          <w:szCs w:val="32"/>
        </w:rPr>
        <w:t>1.</w:t>
      </w:r>
      <w:r>
        <w:rPr>
          <w:rFonts w:hint="eastAsia" w:ascii="仿宋" w:hAnsi="仿宋" w:eastAsia="仿宋" w:cs="仿宋"/>
          <w:b/>
          <w:kern w:val="0"/>
          <w:sz w:val="32"/>
          <w:szCs w:val="32"/>
        </w:rPr>
        <w:t>建立</w:t>
      </w:r>
      <w:r>
        <w:rPr>
          <w:rFonts w:ascii="仿宋" w:hAnsi="仿宋" w:eastAsia="仿宋" w:cs="仿宋"/>
          <w:b/>
          <w:kern w:val="0"/>
          <w:sz w:val="32"/>
          <w:szCs w:val="32"/>
        </w:rPr>
        <w:t>统一指挥的应急管理体制</w:t>
      </w:r>
      <w:r>
        <w:rPr>
          <w:rFonts w:hint="eastAsia" w:ascii="仿宋" w:hAnsi="仿宋" w:eastAsia="仿宋" w:cs="仿宋"/>
          <w:b/>
          <w:kern w:val="0"/>
          <w:sz w:val="32"/>
          <w:szCs w:val="32"/>
        </w:rPr>
        <w:t>。</w:t>
      </w:r>
      <w:r>
        <w:rPr>
          <w:rFonts w:ascii="仿宋" w:hAnsi="仿宋" w:eastAsia="仿宋" w:cs="仿宋"/>
          <w:kern w:val="0"/>
          <w:sz w:val="32"/>
          <w:szCs w:val="32"/>
        </w:rPr>
        <w:t>以中央关于深入推进应急管理事业改革发展的意见为指导纲领，坚持省委、省政府对应急管理的坚强领导和有力支持，按照市委</w:t>
      </w:r>
      <w:r>
        <w:rPr>
          <w:rFonts w:hint="eastAsia" w:ascii="仿宋" w:hAnsi="仿宋" w:eastAsia="仿宋" w:cs="仿宋"/>
          <w:kern w:val="0"/>
          <w:sz w:val="32"/>
          <w:szCs w:val="32"/>
        </w:rPr>
        <w:t>、</w:t>
      </w:r>
      <w:r>
        <w:rPr>
          <w:rFonts w:ascii="仿宋" w:hAnsi="仿宋" w:eastAsia="仿宋" w:cs="仿宋"/>
          <w:kern w:val="0"/>
          <w:sz w:val="32"/>
          <w:szCs w:val="32"/>
        </w:rPr>
        <w:t>市政府建设统一指挥、专常兼备、反应灵敏、上下联动、平战结合的应急管理体制的要求</w:t>
      </w:r>
      <w:r>
        <w:rPr>
          <w:rFonts w:hint="eastAsia" w:ascii="仿宋" w:hAnsi="仿宋" w:eastAsia="仿宋" w:cs="仿宋"/>
          <w:kern w:val="0"/>
          <w:sz w:val="32"/>
          <w:szCs w:val="32"/>
        </w:rPr>
        <w:t>，</w:t>
      </w:r>
      <w:r>
        <w:rPr>
          <w:rFonts w:ascii="仿宋" w:hAnsi="仿宋" w:eastAsia="仿宋" w:cs="仿宋"/>
          <w:kern w:val="0"/>
          <w:sz w:val="32"/>
          <w:szCs w:val="32"/>
        </w:rPr>
        <w:t>加快相关工作制度的研究制定。</w:t>
      </w:r>
      <w:r>
        <w:rPr>
          <w:rFonts w:hint="eastAsia" w:ascii="仿宋" w:hAnsi="仿宋" w:eastAsia="仿宋" w:cs="仿宋"/>
          <w:kern w:val="0"/>
          <w:sz w:val="32"/>
          <w:szCs w:val="32"/>
        </w:rPr>
        <w:t>按照“三定”方案，</w:t>
      </w:r>
      <w:r>
        <w:rPr>
          <w:rFonts w:ascii="仿宋" w:hAnsi="仿宋" w:eastAsia="仿宋" w:cs="仿宋"/>
          <w:kern w:val="0"/>
          <w:sz w:val="32"/>
          <w:szCs w:val="32"/>
        </w:rPr>
        <w:t>发挥好应急管理部门的综合优势和各相关部门的专业优势，严格落实各部门应急管理责任</w:t>
      </w:r>
      <w:r>
        <w:rPr>
          <w:rFonts w:hint="eastAsia" w:ascii="仿宋" w:hAnsi="仿宋" w:eastAsia="仿宋" w:cs="仿宋"/>
          <w:kern w:val="0"/>
          <w:sz w:val="32"/>
          <w:szCs w:val="32"/>
        </w:rPr>
        <w:t>，建立统一指挥的应急管理体制，力求做到</w:t>
      </w:r>
      <w:r>
        <w:rPr>
          <w:rFonts w:ascii="仿宋" w:hAnsi="仿宋" w:eastAsia="仿宋" w:cs="仿宋"/>
          <w:kern w:val="0"/>
          <w:sz w:val="32"/>
          <w:szCs w:val="32"/>
        </w:rPr>
        <w:t>责任链条无缝衔接，上下有效对接联动，形成整体合力</w:t>
      </w:r>
      <w:r>
        <w:rPr>
          <w:rFonts w:hint="eastAsia" w:ascii="仿宋" w:hAnsi="仿宋" w:eastAsia="仿宋" w:cs="仿宋"/>
          <w:kern w:val="0"/>
          <w:sz w:val="32"/>
          <w:szCs w:val="32"/>
        </w:rPr>
        <w:t>；</w:t>
      </w:r>
      <w:r>
        <w:rPr>
          <w:rFonts w:ascii="仿宋" w:hAnsi="仿宋" w:eastAsia="仿宋" w:cs="仿宋"/>
          <w:kern w:val="0"/>
          <w:sz w:val="32"/>
          <w:szCs w:val="32"/>
        </w:rPr>
        <w:t>加强政府对应急管理工作的统一领导，充分发挥防汛抗旱指挥部、减灾委员会等议事协调机构的统筹职责，完善各级安全生产事故</w:t>
      </w:r>
      <w:r>
        <w:rPr>
          <w:rFonts w:hint="eastAsia" w:ascii="仿宋" w:hAnsi="仿宋" w:eastAsia="仿宋" w:cs="仿宋"/>
          <w:kern w:val="0"/>
          <w:sz w:val="32"/>
          <w:szCs w:val="32"/>
        </w:rPr>
        <w:t>、自然灾害的</w:t>
      </w:r>
      <w:r>
        <w:rPr>
          <w:rFonts w:ascii="仿宋" w:hAnsi="仿宋" w:eastAsia="仿宋" w:cs="仿宋"/>
          <w:kern w:val="0"/>
          <w:sz w:val="32"/>
          <w:szCs w:val="32"/>
        </w:rPr>
        <w:t>应急指挥体系</w:t>
      </w:r>
      <w:r>
        <w:rPr>
          <w:rFonts w:hint="eastAsia" w:ascii="仿宋" w:hAnsi="仿宋" w:eastAsia="仿宋" w:cs="仿宋"/>
          <w:kern w:val="0"/>
          <w:sz w:val="32"/>
          <w:szCs w:val="32"/>
        </w:rPr>
        <w:t>。在区委领导下，成立由</w:t>
      </w:r>
      <w:r>
        <w:rPr>
          <w:rFonts w:ascii="仿宋" w:hAnsi="仿宋" w:eastAsia="仿宋" w:cs="仿宋"/>
          <w:kern w:val="0"/>
          <w:sz w:val="32"/>
          <w:szCs w:val="32"/>
        </w:rPr>
        <w:t>区</w:t>
      </w:r>
      <w:r>
        <w:rPr>
          <w:rFonts w:hint="eastAsia" w:ascii="仿宋" w:hAnsi="仿宋" w:eastAsia="仿宋" w:cs="仿宋"/>
          <w:kern w:val="0"/>
          <w:sz w:val="32"/>
          <w:szCs w:val="32"/>
        </w:rPr>
        <w:t>政府</w:t>
      </w:r>
      <w:r>
        <w:rPr>
          <w:rFonts w:ascii="仿宋" w:hAnsi="仿宋" w:eastAsia="仿宋" w:cs="仿宋"/>
          <w:kern w:val="0"/>
          <w:sz w:val="32"/>
          <w:szCs w:val="32"/>
        </w:rPr>
        <w:t>领导为总指挥的应急救援指挥部，组织领导、统筹协调</w:t>
      </w:r>
      <w:r>
        <w:rPr>
          <w:rFonts w:hint="eastAsia" w:ascii="仿宋" w:hAnsi="仿宋" w:eastAsia="仿宋" w:cs="仿宋"/>
          <w:kern w:val="0"/>
          <w:sz w:val="32"/>
          <w:szCs w:val="32"/>
        </w:rPr>
        <w:t>自然灾害类和安全生产类</w:t>
      </w:r>
      <w:r>
        <w:rPr>
          <w:rFonts w:ascii="仿宋" w:hAnsi="仿宋" w:eastAsia="仿宋" w:cs="仿宋"/>
          <w:kern w:val="0"/>
          <w:sz w:val="32"/>
          <w:szCs w:val="32"/>
        </w:rPr>
        <w:t>突发事件的应急救援工作。立足</w:t>
      </w:r>
      <w:r>
        <w:rPr>
          <w:rFonts w:hint="eastAsia" w:ascii="仿宋" w:hAnsi="仿宋" w:eastAsia="仿宋" w:cs="仿宋"/>
          <w:kern w:val="0"/>
          <w:sz w:val="32"/>
          <w:szCs w:val="32"/>
        </w:rPr>
        <w:t>朝阳区</w:t>
      </w:r>
      <w:r>
        <w:rPr>
          <w:rFonts w:ascii="仿宋" w:hAnsi="仿宋" w:eastAsia="仿宋" w:cs="仿宋"/>
          <w:kern w:val="0"/>
          <w:sz w:val="32"/>
          <w:szCs w:val="32"/>
        </w:rPr>
        <w:t>应急救援工作</w:t>
      </w:r>
      <w:r>
        <w:rPr>
          <w:rFonts w:hint="eastAsia" w:ascii="仿宋" w:hAnsi="仿宋" w:eastAsia="仿宋" w:cs="仿宋"/>
          <w:kern w:val="0"/>
          <w:sz w:val="32"/>
          <w:szCs w:val="32"/>
        </w:rPr>
        <w:t>实际</w:t>
      </w:r>
      <w:r>
        <w:rPr>
          <w:rFonts w:ascii="仿宋" w:hAnsi="仿宋" w:eastAsia="仿宋" w:cs="仿宋"/>
          <w:kern w:val="0"/>
          <w:sz w:val="32"/>
          <w:szCs w:val="32"/>
        </w:rPr>
        <w:t>，建设集接报、会商、调度、指挥功能于一体的、以先进适用的信息化装备为支撑的区级应急</w:t>
      </w:r>
      <w:r>
        <w:rPr>
          <w:rFonts w:hint="eastAsia" w:ascii="仿宋" w:hAnsi="仿宋" w:eastAsia="仿宋" w:cs="仿宋"/>
          <w:kern w:val="0"/>
          <w:sz w:val="32"/>
          <w:szCs w:val="32"/>
        </w:rPr>
        <w:t>救援</w:t>
      </w:r>
      <w:r>
        <w:rPr>
          <w:rFonts w:ascii="仿宋" w:hAnsi="仿宋" w:eastAsia="仿宋" w:cs="仿宋"/>
          <w:kern w:val="0"/>
          <w:sz w:val="32"/>
          <w:szCs w:val="32"/>
        </w:rPr>
        <w:t>指挥中心</w:t>
      </w:r>
      <w:r>
        <w:rPr>
          <w:rFonts w:hint="eastAsia" w:ascii="仿宋" w:hAnsi="仿宋" w:eastAsia="仿宋" w:cs="仿宋"/>
          <w:kern w:val="0"/>
          <w:sz w:val="32"/>
          <w:szCs w:val="32"/>
        </w:rPr>
        <w:t>。</w:t>
      </w:r>
      <w:r>
        <w:rPr>
          <w:rFonts w:ascii="仿宋" w:hAnsi="仿宋" w:eastAsia="仿宋" w:cs="仿宋"/>
          <w:kern w:val="0"/>
          <w:sz w:val="32"/>
          <w:szCs w:val="32"/>
        </w:rPr>
        <w:t>加快区级应急指挥中心标准化、信息化建设，实现上下贯通、横向联通，充分发挥</w:t>
      </w:r>
      <w:r>
        <w:rPr>
          <w:rFonts w:hint="eastAsia" w:ascii="仿宋" w:hAnsi="仿宋" w:eastAsia="仿宋" w:cs="仿宋"/>
          <w:kern w:val="0"/>
          <w:sz w:val="32"/>
          <w:szCs w:val="32"/>
        </w:rPr>
        <w:t>其</w:t>
      </w:r>
      <w:r>
        <w:rPr>
          <w:rFonts w:ascii="仿宋" w:hAnsi="仿宋" w:eastAsia="仿宋" w:cs="仿宋"/>
          <w:kern w:val="0"/>
          <w:sz w:val="32"/>
          <w:szCs w:val="32"/>
        </w:rPr>
        <w:t>综合指挥功能。健全应急指挥平台建设</w:t>
      </w:r>
      <w:r>
        <w:rPr>
          <w:rFonts w:hint="eastAsia" w:ascii="仿宋" w:hAnsi="仿宋" w:eastAsia="仿宋" w:cs="仿宋"/>
          <w:kern w:val="0"/>
          <w:sz w:val="32"/>
          <w:szCs w:val="32"/>
        </w:rPr>
        <w:t>，完善</w:t>
      </w:r>
      <w:r>
        <w:rPr>
          <w:rFonts w:ascii="仿宋" w:hAnsi="仿宋" w:eastAsia="仿宋" w:cs="仿宋"/>
          <w:kern w:val="0"/>
          <w:sz w:val="32"/>
          <w:szCs w:val="32"/>
        </w:rPr>
        <w:t>服务保障机制，构建应急</w:t>
      </w:r>
      <w:r>
        <w:rPr>
          <w:rFonts w:hint="eastAsia" w:ascii="仿宋" w:hAnsi="仿宋" w:eastAsia="仿宋" w:cs="仿宋"/>
          <w:kern w:val="0"/>
          <w:sz w:val="32"/>
          <w:szCs w:val="32"/>
        </w:rPr>
        <w:t>救援</w:t>
      </w:r>
      <w:r>
        <w:rPr>
          <w:rFonts w:ascii="仿宋" w:hAnsi="仿宋" w:eastAsia="仿宋" w:cs="仿宋"/>
          <w:kern w:val="0"/>
          <w:sz w:val="32"/>
          <w:szCs w:val="32"/>
        </w:rPr>
        <w:t>指挥中心与事故现场全数据传输链路，提升远程协同会商决策能力</w:t>
      </w:r>
      <w:r>
        <w:rPr>
          <w:rFonts w:hint="eastAsia" w:ascii="仿宋" w:hAnsi="仿宋" w:eastAsia="仿宋" w:cs="仿宋"/>
          <w:kern w:val="0"/>
          <w:sz w:val="32"/>
          <w:szCs w:val="32"/>
        </w:rPr>
        <w:t>。</w:t>
      </w:r>
    </w:p>
    <w:p>
      <w:pPr>
        <w:spacing w:line="660" w:lineRule="exact"/>
        <w:ind w:firstLine="643" w:firstLineChars="200"/>
        <w:rPr>
          <w:rFonts w:ascii="仿宋" w:hAnsi="仿宋" w:eastAsia="仿宋" w:cs="仿宋"/>
          <w:b/>
          <w:kern w:val="0"/>
          <w:sz w:val="32"/>
          <w:szCs w:val="32"/>
        </w:rPr>
      </w:pPr>
      <w:r>
        <w:rPr>
          <w:rFonts w:ascii="仿宋" w:hAnsi="仿宋" w:eastAsia="仿宋" w:cs="仿宋"/>
          <w:b/>
          <w:kern w:val="0"/>
          <w:sz w:val="32"/>
          <w:szCs w:val="32"/>
        </w:rPr>
        <w:t>2.建立反应灵敏的应急管理联动机制</w:t>
      </w:r>
      <w:r>
        <w:rPr>
          <w:rFonts w:hint="eastAsia" w:ascii="仿宋" w:hAnsi="仿宋" w:eastAsia="仿宋" w:cs="仿宋"/>
          <w:b/>
          <w:kern w:val="0"/>
          <w:sz w:val="32"/>
          <w:szCs w:val="32"/>
        </w:rPr>
        <w:t>。</w:t>
      </w:r>
      <w:r>
        <w:rPr>
          <w:rFonts w:ascii="仿宋" w:hAnsi="仿宋" w:eastAsia="仿宋" w:cs="仿宋"/>
          <w:kern w:val="0"/>
          <w:sz w:val="32"/>
          <w:szCs w:val="32"/>
        </w:rPr>
        <w:t>完善应急管理部门统筹、相关部门参与的跨部门、跨层级、跨地域的各司其职、应急联动、协同处置的统筹协调机制</w:t>
      </w:r>
      <w:r>
        <w:rPr>
          <w:rFonts w:hint="eastAsia" w:ascii="仿宋" w:hAnsi="仿宋" w:eastAsia="仿宋" w:cs="仿宋"/>
          <w:kern w:val="0"/>
          <w:sz w:val="32"/>
          <w:szCs w:val="32"/>
        </w:rPr>
        <w:t>。</w:t>
      </w:r>
      <w:r>
        <w:rPr>
          <w:rFonts w:ascii="仿宋" w:hAnsi="仿宋" w:eastAsia="仿宋" w:cs="仿宋"/>
          <w:kern w:val="0"/>
          <w:sz w:val="32"/>
          <w:szCs w:val="32"/>
        </w:rPr>
        <w:t>建立安全生产、消防、防汛形势定期研判（会商）制度，制定应急值守、监测预警、风险会商、信息报送等工作制度。升级改造应急值守信息系统，依托各类基层信息员队伍，建立信息报送网络</w:t>
      </w:r>
      <w:r>
        <w:rPr>
          <w:rFonts w:hint="eastAsia" w:ascii="仿宋" w:hAnsi="仿宋" w:eastAsia="仿宋" w:cs="仿宋"/>
          <w:kern w:val="0"/>
          <w:sz w:val="32"/>
          <w:szCs w:val="32"/>
        </w:rPr>
        <w:t>。</w:t>
      </w:r>
      <w:r>
        <w:rPr>
          <w:rFonts w:ascii="仿宋" w:hAnsi="仿宋" w:eastAsia="仿宋" w:cs="仿宋"/>
          <w:kern w:val="0"/>
          <w:sz w:val="32"/>
          <w:szCs w:val="32"/>
        </w:rPr>
        <w:t>强化应急联动机制建设，在突发事件预防、监测预警、应急处置与救援和恢复重建的各个环节，完善制定部门间的信息共享、预警响应、灾情会商、救助反应、灾情评估、物资调拨等联动机制，实现应急资源的有效整合和共享。制定</w:t>
      </w:r>
      <w:r>
        <w:rPr>
          <w:rFonts w:hint="eastAsia" w:ascii="仿宋" w:hAnsi="仿宋" w:eastAsia="仿宋" w:cs="仿宋"/>
          <w:kern w:val="0"/>
          <w:sz w:val="32"/>
          <w:szCs w:val="32"/>
        </w:rPr>
        <w:t>朝阳区</w:t>
      </w:r>
      <w:r>
        <w:rPr>
          <w:rFonts w:ascii="仿宋" w:hAnsi="仿宋" w:eastAsia="仿宋" w:cs="仿宋"/>
          <w:kern w:val="0"/>
          <w:sz w:val="32"/>
          <w:szCs w:val="32"/>
        </w:rPr>
        <w:t>应急管理宣传工作总体方案，完善舆情应对、部门联动、警示教育等工作机制，打造公益宣传、风险提示、信息发布、新闻报道四大平台，提升突发事件报道的专业化水平，积极稳妥开展重特大突发事件的舆情应对处置，增强宣传报道和舆情应对的公信力。加强损失评估，完善灾害损失评估标准和流程</w:t>
      </w:r>
      <w:r>
        <w:rPr>
          <w:rFonts w:hint="eastAsia" w:ascii="仿宋" w:hAnsi="仿宋" w:eastAsia="仿宋" w:cs="仿宋"/>
          <w:kern w:val="0"/>
          <w:sz w:val="32"/>
          <w:szCs w:val="32"/>
        </w:rPr>
        <w:t>。</w:t>
      </w:r>
      <w:r>
        <w:rPr>
          <w:rFonts w:ascii="仿宋" w:hAnsi="仿宋" w:eastAsia="仿宋" w:cs="仿宋"/>
          <w:kern w:val="0"/>
          <w:sz w:val="32"/>
          <w:szCs w:val="32"/>
        </w:rPr>
        <w:t>加强统筹谋划，做好灾区修复与重建</w:t>
      </w:r>
      <w:r>
        <w:rPr>
          <w:rFonts w:hint="eastAsia" w:ascii="仿宋" w:hAnsi="仿宋" w:eastAsia="仿宋" w:cs="仿宋"/>
          <w:kern w:val="0"/>
          <w:sz w:val="32"/>
          <w:szCs w:val="32"/>
        </w:rPr>
        <w:t>。</w:t>
      </w:r>
      <w:bookmarkStart w:id="16" w:name="_Hlk53077924"/>
      <w:r>
        <w:rPr>
          <w:rFonts w:ascii="仿宋" w:hAnsi="仿宋" w:eastAsia="仿宋" w:cs="仿宋"/>
          <w:kern w:val="0"/>
          <w:sz w:val="32"/>
          <w:szCs w:val="32"/>
        </w:rPr>
        <w:t>建立政府、企业、社会多方共同支持的应急资金</w:t>
      </w:r>
      <w:r>
        <w:rPr>
          <w:rFonts w:hint="eastAsia" w:ascii="仿宋" w:hAnsi="仿宋" w:eastAsia="仿宋" w:cs="仿宋"/>
          <w:kern w:val="0"/>
          <w:sz w:val="32"/>
          <w:szCs w:val="32"/>
        </w:rPr>
        <w:t>投入</w:t>
      </w:r>
      <w:r>
        <w:rPr>
          <w:rFonts w:ascii="仿宋" w:hAnsi="仿宋" w:eastAsia="仿宋" w:cs="仿宋"/>
          <w:kern w:val="0"/>
          <w:sz w:val="32"/>
          <w:szCs w:val="32"/>
        </w:rPr>
        <w:t>机制，</w:t>
      </w:r>
      <w:r>
        <w:rPr>
          <w:rFonts w:hint="eastAsia" w:ascii="仿宋" w:hAnsi="仿宋" w:eastAsia="仿宋" w:cs="仿宋"/>
          <w:kern w:val="0"/>
          <w:sz w:val="32"/>
          <w:szCs w:val="32"/>
        </w:rPr>
        <w:t>保障应急资金按时拨付。</w:t>
      </w:r>
    </w:p>
    <w:bookmarkEnd w:id="16"/>
    <w:p>
      <w:pPr>
        <w:spacing w:line="660" w:lineRule="exact"/>
        <w:ind w:firstLine="643" w:firstLineChars="200"/>
        <w:rPr>
          <w:rFonts w:ascii="仿宋" w:hAnsi="仿宋" w:eastAsia="仿宋"/>
          <w:sz w:val="32"/>
          <w:szCs w:val="32"/>
        </w:rPr>
      </w:pPr>
      <w:r>
        <w:rPr>
          <w:rFonts w:hint="eastAsia" w:ascii="仿宋" w:hAnsi="仿宋" w:eastAsia="仿宋" w:cs="仿宋"/>
          <w:b/>
          <w:kern w:val="0"/>
          <w:sz w:val="32"/>
          <w:szCs w:val="32"/>
        </w:rPr>
        <w:t>3.构建权威高效的责任体系。</w:t>
      </w:r>
      <w:r>
        <w:rPr>
          <w:rFonts w:hint="eastAsia" w:ascii="仿宋" w:hAnsi="仿宋" w:eastAsia="仿宋"/>
          <w:b/>
          <w:bCs/>
          <w:sz w:val="32"/>
          <w:szCs w:val="32"/>
        </w:rPr>
        <w:t>一是</w:t>
      </w:r>
      <w:r>
        <w:rPr>
          <w:rFonts w:hint="eastAsia" w:ascii="仿宋" w:hAnsi="仿宋" w:eastAsia="仿宋"/>
          <w:sz w:val="32"/>
          <w:szCs w:val="32"/>
        </w:rPr>
        <w:t>在市级党委和政府的指导下，落实乡镇（街道）党（工）委和政府（办事处）及有关行业部门应急管理领导责任。针对应急管理、安全生产和防灾减灾工作的特点，定期组织制定和完善工作计划、应急预案等工作。按照“党政同责、一岗双责、齐抓共管、失职追责”的要求，强化各级政府主要负责人的责任制度；</w:t>
      </w:r>
      <w:r>
        <w:rPr>
          <w:rFonts w:hint="eastAsia" w:ascii="仿宋" w:hAnsi="仿宋" w:eastAsia="仿宋"/>
          <w:b/>
          <w:bCs/>
          <w:sz w:val="32"/>
          <w:szCs w:val="32"/>
        </w:rPr>
        <w:t>二是</w:t>
      </w:r>
      <w:r>
        <w:rPr>
          <w:rFonts w:hint="eastAsia" w:ascii="仿宋" w:hAnsi="仿宋" w:eastAsia="仿宋"/>
          <w:sz w:val="32"/>
          <w:szCs w:val="32"/>
        </w:rPr>
        <w:t>区内各乡镇（街道）设立应急管理办公室。负责部署本辖区应急管理日常任务和工作，开展宣传各类灾害事故防范应对知识和技能，协助区应急管理部门开展事故调查、灾害监测预警、应急救援等管理和安全生产执法工作；</w:t>
      </w:r>
      <w:r>
        <w:rPr>
          <w:rFonts w:hint="eastAsia" w:ascii="仿宋" w:hAnsi="仿宋" w:eastAsia="仿宋"/>
          <w:b/>
          <w:bCs/>
          <w:sz w:val="32"/>
          <w:szCs w:val="32"/>
        </w:rPr>
        <w:t>三是</w:t>
      </w:r>
      <w:r>
        <w:rPr>
          <w:rFonts w:hint="eastAsia" w:ascii="仿宋" w:hAnsi="仿宋" w:eastAsia="仿宋"/>
          <w:sz w:val="32"/>
          <w:szCs w:val="32"/>
        </w:rPr>
        <w:t>实施网格化管理。充分利用社区网格化管理机制，落实所在网格安全生产、防灾减灾、应急救援、消防安全等相关工作的宣传普及、安全巡检、事故灾害监测上报、灾情统计、救灾救助等工作。设立网格员或网格长，将责任落实到网格。</w:t>
      </w:r>
    </w:p>
    <w:p>
      <w:pPr>
        <w:widowControl/>
        <w:shd w:val="clear" w:color="auto" w:fill="FFFFFF"/>
        <w:spacing w:before="100" w:beforeAutospacing="1" w:after="100" w:afterAutospacing="1"/>
        <w:ind w:firstLine="643" w:firstLineChars="200"/>
        <w:rPr>
          <w:rFonts w:ascii="仿宋" w:hAnsi="仿宋" w:eastAsia="仿宋" w:cs="宋体"/>
          <w:kern w:val="0"/>
          <w:sz w:val="24"/>
          <w:szCs w:val="24"/>
        </w:rPr>
      </w:pPr>
      <w:r>
        <w:rPr>
          <w:rFonts w:ascii="仿宋" w:hAnsi="仿宋" w:eastAsia="仿宋"/>
          <w:b/>
          <w:sz w:val="32"/>
          <w:szCs w:val="32"/>
        </w:rPr>
        <w:t>4</w:t>
      </w:r>
      <w:r>
        <w:rPr>
          <w:rFonts w:hint="eastAsia" w:ascii="仿宋" w:hAnsi="仿宋" w:eastAsia="仿宋"/>
          <w:b/>
          <w:sz w:val="32"/>
          <w:szCs w:val="32"/>
        </w:rPr>
        <w:t>.加强应急管理人才队伍建设。</w:t>
      </w:r>
      <w:r>
        <w:rPr>
          <w:rFonts w:hint="eastAsia" w:ascii="仿宋" w:hAnsi="仿宋" w:eastAsia="仿宋"/>
          <w:sz w:val="32"/>
          <w:szCs w:val="32"/>
        </w:rPr>
        <w:t>按照辖区人口数量、经济发展和应急管理工作中的实际任务需求，通过灵活多样的人才引进策略，依托专项财政支持，开展不同层次、不同形式的人才引进工作。加强应急管理工作人员专业水平和业务素质，引进行政岗和事业编制岗位人员，通过公益岗和社工岗等方式补充应急管理人才。同时，要注重将内部综合素质好、工作热情高、事业心责任心强的人员配备到应急管理工作岗位，保证应急管理干部队伍的质量。按照中共吉林省委、吉林省政府《关于加强乡镇（街道）、村（社区）应急管理体系、能力建设的实施意见》要求，结合朝阳区应急管理工作实际，“十四五”期间，每个乡镇（街道）应急管理办公室配备或明确3-5名应急管理工作人员，每个村（社区）明确2-3名应急管理工作人员，每个应急管理网格明确1名应急管理工作人员。</w:t>
      </w:r>
    </w:p>
    <w:p>
      <w:pPr>
        <w:keepNext/>
        <w:keepLines/>
        <w:spacing w:before="60" w:after="60" w:line="660" w:lineRule="exact"/>
        <w:outlineLvl w:val="1"/>
        <w:rPr>
          <w:rFonts w:ascii="仿宋" w:hAnsi="仿宋" w:eastAsia="仿宋"/>
          <w:b/>
          <w:bCs/>
          <w:sz w:val="32"/>
          <w:szCs w:val="32"/>
        </w:rPr>
      </w:pPr>
      <w:bookmarkStart w:id="17" w:name="_Toc53434458"/>
      <w:bookmarkStart w:id="18" w:name="_Hlk52985923"/>
      <w:r>
        <w:rPr>
          <w:rFonts w:hint="eastAsia" w:ascii="仿宋" w:hAnsi="仿宋" w:eastAsia="仿宋"/>
          <w:b/>
          <w:bCs/>
          <w:sz w:val="32"/>
          <w:szCs w:val="32"/>
        </w:rPr>
        <w:t>（二）强化综合防灾减灾能力建设，提升风险防控水平</w:t>
      </w:r>
      <w:bookmarkEnd w:id="17"/>
    </w:p>
    <w:bookmarkEnd w:id="18"/>
    <w:p>
      <w:pPr>
        <w:spacing w:line="66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1</w:t>
      </w:r>
      <w:r>
        <w:rPr>
          <w:rFonts w:ascii="仿宋" w:hAnsi="仿宋" w:eastAsia="仿宋" w:cs="仿宋"/>
          <w:b/>
          <w:kern w:val="0"/>
          <w:sz w:val="32"/>
          <w:szCs w:val="32"/>
        </w:rPr>
        <w:t>.</w:t>
      </w:r>
      <w:r>
        <w:rPr>
          <w:rFonts w:hint="eastAsia" w:ascii="仿宋" w:hAnsi="仿宋" w:eastAsia="仿宋" w:cs="仿宋"/>
          <w:b/>
          <w:kern w:val="0"/>
          <w:sz w:val="32"/>
          <w:szCs w:val="32"/>
        </w:rPr>
        <w:t>强化突发事件风险防控能力。</w:t>
      </w:r>
      <w:r>
        <w:rPr>
          <w:rFonts w:hint="eastAsia" w:ascii="仿宋" w:hAnsi="仿宋" w:eastAsia="仿宋" w:cs="仿宋"/>
          <w:kern w:val="0"/>
          <w:sz w:val="32"/>
          <w:szCs w:val="32"/>
        </w:rPr>
        <w:t>贯彻落实习近平总书记关于应急管理工作“两个坚持、三个转变”的重要指示精神，积极构建有效应对各灾种、覆盖防灾减灾救灾各环节的自然灾害综合防控体系，针对洪涝干旱、暴雪冰冻灾害等自然灾害开展综合风险调查与减灾能力调查，配合上级部门建设自然灾害风险隐患数据库，形成支撑自然灾害风险管理的全要素数据资源体系。</w:t>
      </w:r>
    </w:p>
    <w:p>
      <w:pPr>
        <w:spacing w:line="660" w:lineRule="exact"/>
        <w:ind w:firstLine="643" w:firstLineChars="200"/>
        <w:rPr>
          <w:rFonts w:ascii="仿宋" w:hAnsi="仿宋" w:eastAsia="仿宋" w:cs="仿宋"/>
          <w:kern w:val="0"/>
          <w:sz w:val="32"/>
          <w:szCs w:val="32"/>
        </w:rPr>
      </w:pPr>
      <w:r>
        <w:rPr>
          <w:rFonts w:hint="eastAsia" w:ascii="仿宋" w:hAnsi="仿宋" w:eastAsia="仿宋" w:cs="仿宋"/>
          <w:b/>
          <w:kern w:val="0"/>
          <w:sz w:val="32"/>
          <w:szCs w:val="32"/>
        </w:rPr>
        <w:t>2</w:t>
      </w:r>
      <w:r>
        <w:rPr>
          <w:rFonts w:ascii="仿宋" w:hAnsi="仿宋" w:eastAsia="仿宋" w:cs="仿宋"/>
          <w:b/>
          <w:kern w:val="0"/>
          <w:sz w:val="32"/>
          <w:szCs w:val="32"/>
        </w:rPr>
        <w:t>.</w:t>
      </w:r>
      <w:r>
        <w:rPr>
          <w:rFonts w:hint="eastAsia" w:ascii="仿宋" w:hAnsi="仿宋" w:eastAsia="仿宋" w:cs="仿宋"/>
          <w:b/>
          <w:kern w:val="0"/>
          <w:sz w:val="32"/>
          <w:szCs w:val="32"/>
        </w:rPr>
        <w:t>加强监测预警服务体系建设</w:t>
      </w:r>
      <w:r>
        <w:rPr>
          <w:rFonts w:hint="eastAsia" w:ascii="仿宋" w:hAnsi="仿宋" w:eastAsia="仿宋" w:cs="仿宋"/>
          <w:kern w:val="0"/>
          <w:sz w:val="32"/>
          <w:szCs w:val="32"/>
        </w:rPr>
        <w:t>。配合上级部门进一步完善群专结合、资源共享、覆盖全区的主要灾害实时监测网络，协调做好气象、水利、环保等部门信息共享，突出防汛抗旱等重点领域和灾害易发高发时间节点，加强监测预警管理，优化监测站点布局，动态监测风险隐患，不断提升灾害预测预报准确程度，提升监测预警水平。对于自然灾害、安全生产等领域，要建设多渠道、多领域、全方位的预警信息发布系统。形成朝阳区突发事件预警模块，并入长春市的风险防控平台。对于预警信息的发布要准确、及时，不得瞒报、漏报。重点加强灾害和生产安全事故易发区的监测预警，通过广播、短信、电视、互联网和交通电子显示屏等多种媒介完成预警信息的发布，确保信息接收的顺畅。组织编制风险等级区划图，加强对洪涝干旱等自然灾害和危化品、道路交通、消防等重点行业领域的安全风险形势综合会商研判，及时组织重大活动、重点时段、重要区域专题会商，协调完善风险提示、防范响应等工作制度,做到风险早期识别、早期预报、早期处置。</w:t>
      </w:r>
    </w:p>
    <w:p>
      <w:pPr>
        <w:spacing w:line="66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3</w:t>
      </w:r>
      <w:r>
        <w:rPr>
          <w:rFonts w:ascii="仿宋" w:hAnsi="仿宋" w:eastAsia="仿宋" w:cs="仿宋"/>
          <w:b/>
          <w:kern w:val="0"/>
          <w:sz w:val="32"/>
          <w:szCs w:val="32"/>
        </w:rPr>
        <w:t>.</w:t>
      </w:r>
      <w:r>
        <w:rPr>
          <w:rFonts w:hint="eastAsia" w:ascii="仿宋" w:hAnsi="仿宋" w:eastAsia="仿宋" w:cs="仿宋"/>
          <w:b/>
          <w:kern w:val="0"/>
          <w:sz w:val="32"/>
          <w:szCs w:val="32"/>
        </w:rPr>
        <w:t>提升基础设施防灾抗灾能力。</w:t>
      </w:r>
      <w:r>
        <w:rPr>
          <w:rFonts w:hint="eastAsia" w:ascii="仿宋" w:hAnsi="仿宋" w:eastAsia="仿宋" w:cs="仿宋"/>
          <w:kern w:val="0"/>
          <w:sz w:val="32"/>
          <w:szCs w:val="32"/>
        </w:rPr>
        <w:t>兼顾安全性和经济性，加快完善城乡综合防灾规划，提升基础设施防灾标准，统筹指导推进交通、通信、供水、供电、供气、供热等基础设施的抗损毁和快速恢复保障能力建设。加大对城乡公共建筑物消防设施维护资金投入，制定消防安全整治联动机制，加强管理力度。落实消防设施维护保养资金，定期对公共建筑物消防设施维护保养检测，落实责任。充分利用现有资源，科学、合理规划建设应急避难场所，同时，根据朝阳区地区气候特点，全面考虑雨雪季节等特殊情况下受灾群众的基本生活需求和转移安置需求，升级现有避难场所，并配备保障受灾避难群众基本生活的配套设施。加强预防洪涝、干旱灾情监测预警，协调指导住建、农业等部门开展城市积水点勘察、排水管道疏通、河道整治、抗旱应急备用水源等防洪抗旱基础工程建设，提高防洪抗旱和水安全保障能力。</w:t>
      </w:r>
    </w:p>
    <w:p>
      <w:pPr>
        <w:spacing w:line="66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4.强化城市公共安全风险管理能力。一是</w:t>
      </w:r>
      <w:r>
        <w:rPr>
          <w:rFonts w:hint="eastAsia" w:ascii="仿宋" w:hAnsi="仿宋" w:eastAsia="仿宋" w:cs="仿宋"/>
          <w:kern w:val="0"/>
          <w:sz w:val="32"/>
          <w:szCs w:val="32"/>
        </w:rPr>
        <w:t>协助有关部门开展城市公共安全风险评估。协调配合有关部门编制城市公共安全风险清单，运用GIS、大数据、云计算和移动互联网等信息技术，启动建设数据准确、更新及时、图层充实、覆盖全面的应急管理“一张图”项目，建立完善各类风险隐患源、重点防护目标、应急物资仓储、应急救援队伍、应急专家队伍、避难场所等资源信息数据库，对重大风险源进行实时监控；</w:t>
      </w:r>
      <w:r>
        <w:rPr>
          <w:rFonts w:hint="eastAsia" w:ascii="仿宋" w:hAnsi="仿宋" w:eastAsia="仿宋" w:cs="仿宋"/>
          <w:b/>
          <w:bCs/>
          <w:kern w:val="0"/>
          <w:sz w:val="32"/>
          <w:szCs w:val="32"/>
        </w:rPr>
        <w:t>二是</w:t>
      </w:r>
      <w:r>
        <w:rPr>
          <w:rFonts w:hint="eastAsia" w:ascii="仿宋" w:hAnsi="仿宋" w:eastAsia="仿宋" w:cs="仿宋"/>
          <w:kern w:val="0"/>
          <w:sz w:val="32"/>
          <w:szCs w:val="32"/>
        </w:rPr>
        <w:t>提高社区应急规范管理水平。借鉴区内已有经验，在朝阳区范围内加快建设消防安全示范社区、地震安全示范社区及综合性防灾减灾示范社区，完善相关创建标准规范，提高社区应急规范化水平。</w:t>
      </w:r>
    </w:p>
    <w:p>
      <w:pPr>
        <w:keepNext/>
        <w:keepLines/>
        <w:spacing w:before="60" w:after="60" w:line="660" w:lineRule="exact"/>
        <w:outlineLvl w:val="1"/>
        <w:rPr>
          <w:rFonts w:ascii="仿宋" w:hAnsi="仿宋" w:eastAsia="仿宋"/>
          <w:b/>
          <w:bCs/>
          <w:sz w:val="32"/>
          <w:szCs w:val="32"/>
        </w:rPr>
      </w:pPr>
      <w:bookmarkStart w:id="19" w:name="_Toc53434459"/>
      <w:r>
        <w:rPr>
          <w:rFonts w:hint="eastAsia" w:ascii="仿宋" w:hAnsi="仿宋" w:eastAsia="仿宋"/>
          <w:b/>
          <w:bCs/>
          <w:sz w:val="32"/>
          <w:szCs w:val="32"/>
        </w:rPr>
        <w:t>（三）强化安全生产意识，落实安全生产责任</w:t>
      </w:r>
      <w:bookmarkEnd w:id="19"/>
    </w:p>
    <w:p>
      <w:pPr>
        <w:spacing w:line="660" w:lineRule="exact"/>
        <w:ind w:firstLine="643" w:firstLineChars="200"/>
        <w:rPr>
          <w:rFonts w:ascii="仿宋" w:hAnsi="仿宋" w:eastAsia="仿宋" w:cs="仿宋"/>
          <w:b/>
          <w:kern w:val="0"/>
          <w:sz w:val="32"/>
          <w:szCs w:val="32"/>
        </w:rPr>
      </w:pPr>
      <w:bookmarkStart w:id="20" w:name="_Hlk54258586"/>
      <w:r>
        <w:rPr>
          <w:rFonts w:hint="eastAsia" w:ascii="仿宋" w:hAnsi="仿宋" w:eastAsia="仿宋" w:cs="仿宋"/>
          <w:b/>
          <w:kern w:val="0"/>
          <w:sz w:val="32"/>
          <w:szCs w:val="32"/>
        </w:rPr>
        <w:t>1</w:t>
      </w:r>
      <w:r>
        <w:rPr>
          <w:rFonts w:ascii="仿宋" w:hAnsi="仿宋" w:eastAsia="仿宋" w:cs="仿宋"/>
          <w:b/>
          <w:kern w:val="0"/>
          <w:sz w:val="32"/>
          <w:szCs w:val="32"/>
        </w:rPr>
        <w:t>.</w:t>
      </w:r>
      <w:r>
        <w:rPr>
          <w:rFonts w:hint="eastAsia" w:ascii="仿宋" w:hAnsi="仿宋" w:eastAsia="仿宋" w:cs="仿宋"/>
          <w:b/>
          <w:kern w:val="0"/>
          <w:sz w:val="32"/>
          <w:szCs w:val="32"/>
        </w:rPr>
        <w:t>落实地方党政领导干部安全生产责任。</w:t>
      </w:r>
      <w:r>
        <w:rPr>
          <w:rFonts w:hint="eastAsia" w:ascii="仿宋" w:hAnsi="仿宋" w:eastAsia="仿宋"/>
          <w:sz w:val="32"/>
          <w:szCs w:val="36"/>
        </w:rPr>
        <w:t>进一步贯彻落实《吉林省党政</w:t>
      </w:r>
      <w:bookmarkEnd w:id="20"/>
      <w:r>
        <w:rPr>
          <w:rFonts w:hint="eastAsia" w:ascii="仿宋" w:hAnsi="仿宋" w:eastAsia="仿宋"/>
          <w:sz w:val="32"/>
          <w:szCs w:val="36"/>
        </w:rPr>
        <w:t>领导干部安全生产责任制实施细则》，强化党委政府领导责任、部门监管责任和企业主体责任。严格落实“党政同责、一岗双责、齐抓共管、失职追责”。把安全生产工作这项“一把手工程”，放在全局工作突出重要位置，将安全生产纳入区委议事日程，及时组织研究涉及安全生产监管体制机制、重大事故隐患治理等重大问题。制定部门安全生产重点工作责任清单。</w:t>
      </w:r>
      <w:r>
        <w:rPr>
          <w:rFonts w:ascii="仿宋" w:hAnsi="仿宋" w:eastAsia="仿宋"/>
          <w:sz w:val="32"/>
          <w:szCs w:val="36"/>
        </w:rPr>
        <w:t>推进安全生产由企业被动接受监管向主动加强管理转变</w:t>
      </w:r>
      <w:r>
        <w:rPr>
          <w:rFonts w:hint="eastAsia" w:ascii="仿宋" w:hAnsi="仿宋" w:eastAsia="仿宋"/>
          <w:sz w:val="32"/>
          <w:szCs w:val="36"/>
        </w:rPr>
        <w:t>。建立健全安全生产目标管理责任制考核办法，加强安全生产督查考核和问责追责，及时发现和解决责任不落实的问题。</w:t>
      </w:r>
      <w:r>
        <w:rPr>
          <w:rFonts w:ascii="仿宋" w:hAnsi="仿宋" w:eastAsia="仿宋" w:cs="仿宋"/>
          <w:b/>
          <w:kern w:val="0"/>
          <w:sz w:val="32"/>
          <w:szCs w:val="32"/>
        </w:rPr>
        <w:t xml:space="preserve"> </w:t>
      </w:r>
    </w:p>
    <w:p>
      <w:pPr>
        <w:pStyle w:val="2"/>
        <w:ind w:firstLine="643" w:firstLineChars="200"/>
        <w:rPr>
          <w:rFonts w:ascii="仿宋" w:hAnsi="仿宋" w:eastAsia="仿宋" w:cs="仿宋_GB2312"/>
        </w:rPr>
      </w:pPr>
      <w:r>
        <w:rPr>
          <w:rFonts w:ascii="仿宋" w:hAnsi="仿宋" w:eastAsia="仿宋" w:cs="仿宋"/>
          <w:b/>
          <w:kern w:val="0"/>
          <w:sz w:val="32"/>
          <w:szCs w:val="32"/>
        </w:rPr>
        <w:t>2.</w:t>
      </w:r>
      <w:r>
        <w:rPr>
          <w:rFonts w:hint="eastAsia" w:ascii="仿宋" w:hAnsi="仿宋" w:eastAsia="仿宋" w:cs="仿宋"/>
          <w:b/>
          <w:kern w:val="0"/>
          <w:sz w:val="32"/>
          <w:szCs w:val="32"/>
        </w:rPr>
        <w:t>落实企业安全生产主体责任。</w:t>
      </w:r>
      <w:r>
        <w:rPr>
          <w:rFonts w:hint="eastAsia" w:ascii="仿宋" w:hAnsi="仿宋" w:eastAsia="仿宋"/>
          <w:sz w:val="32"/>
          <w:szCs w:val="36"/>
        </w:rPr>
        <w:t>提高企业安全管理能力，深入推动落实《企业安全生产主体责任“五个必须落实”》等若干规定，强化企业法定代表人、实际控制人的第一责任人法定责任。推动企业定期开展安全风险评估和危害辨识，针对高危工艺、设备、物品、场所和岗位等，加强动态分级管理，落实风险防控措施，实现可防可控。督促企业加大安全投入，用足用好企业安全生产费用提取使用，重点用于风险防控和隐患排查治理，推进各重点行业领域机械化、信息化、智能化建设。通过实施安责险，推动保险机构和专业技术服务机构等广泛参与的安全生产社会化服务体系在我区推广应用。大力开展安全生产标准化规范建设，实现安全生产现场管理、操作行为、设备设施和作业环境的规范化。加强企业安全管理制度建设，完善和落实企业安全生产诚信、承诺公告、举报奖励和教育培训等制度，建立健全企业风险管控和隐患排查治理情况向负有安全生产监督管理职责的部门和企业职代会“双报告”制度，自觉接受监督。</w:t>
      </w:r>
    </w:p>
    <w:p>
      <w:pPr>
        <w:pStyle w:val="2"/>
        <w:ind w:firstLine="643" w:firstLineChars="200"/>
        <w:rPr>
          <w:rFonts w:hint="eastAsia" w:ascii="仿宋" w:hAnsi="仿宋" w:eastAsia="仿宋"/>
          <w:sz w:val="32"/>
          <w:szCs w:val="36"/>
        </w:rPr>
      </w:pPr>
      <w:r>
        <w:rPr>
          <w:rFonts w:ascii="仿宋" w:hAnsi="仿宋" w:eastAsia="仿宋" w:cs="仿宋"/>
          <w:b/>
          <w:kern w:val="0"/>
          <w:sz w:val="32"/>
          <w:szCs w:val="32"/>
        </w:rPr>
        <w:t>3.</w:t>
      </w:r>
      <w:r>
        <w:rPr>
          <w:rFonts w:hint="eastAsia" w:ascii="仿宋" w:hAnsi="仿宋" w:eastAsia="仿宋" w:cs="仿宋"/>
          <w:b/>
          <w:kern w:val="0"/>
          <w:sz w:val="32"/>
          <w:szCs w:val="32"/>
        </w:rPr>
        <w:t>落实部门安全生产监管责任。</w:t>
      </w:r>
      <w:r>
        <w:rPr>
          <w:rFonts w:hint="eastAsia" w:ascii="仿宋" w:hAnsi="仿宋" w:eastAsia="仿宋"/>
          <w:sz w:val="32"/>
          <w:szCs w:val="36"/>
        </w:rPr>
        <w:t>负有安全监管职责的行业主管部门要按照“管行业必须管安全、管业务必须管安全、管生产必须管安全”做好贯彻落实。加强日常监督检查和指导督促职责，加强本行业领域安全生产监管执法，做好有关事故预防控制，发生重特大事故立即派员到现场指导参与抢险救援、事故调查等工作。坚持补短板、堵漏洞，健全安全监管长效机制，切实提升监管效能。组织专家开展精准指导服务，实行远程“会诊”与上门服务相结合，帮助解决安全生产难题。督促企业自查自纠，对企业主动发现、自觉报告的问题隐患，重点实行跟踪指导服务。积极开展以案释法，加强宣传教育，强化警示教育，鼓励和引导广大群众特别是企业职工举报重大隐患和违法违规行为，增强公众安全意识和参与意识，形成全社会参与支持、群防群治的良好局面。</w:t>
      </w:r>
    </w:p>
    <w:p>
      <w:pPr>
        <w:spacing w:line="660" w:lineRule="exact"/>
        <w:ind w:firstLine="643" w:firstLineChars="200"/>
        <w:rPr>
          <w:rFonts w:ascii="仿宋" w:hAnsi="仿宋" w:eastAsia="仿宋"/>
          <w:sz w:val="32"/>
          <w:szCs w:val="36"/>
        </w:rPr>
      </w:pPr>
      <w:r>
        <w:rPr>
          <w:rFonts w:ascii="仿宋" w:hAnsi="仿宋" w:eastAsia="仿宋"/>
          <w:b/>
          <w:sz w:val="32"/>
          <w:szCs w:val="36"/>
        </w:rPr>
        <w:t>4.</w:t>
      </w:r>
      <w:r>
        <w:rPr>
          <w:rFonts w:hint="eastAsia" w:ascii="仿宋" w:hAnsi="仿宋" w:eastAsia="仿宋"/>
        </w:rPr>
        <w:t xml:space="preserve"> </w:t>
      </w:r>
      <w:r>
        <w:rPr>
          <w:rFonts w:hint="eastAsia" w:ascii="仿宋" w:hAnsi="仿宋" w:eastAsia="仿宋"/>
          <w:b/>
          <w:sz w:val="32"/>
          <w:szCs w:val="36"/>
        </w:rPr>
        <w:t>加大安全生产专项整治三年行动工作力度。</w:t>
      </w:r>
      <w:r>
        <w:rPr>
          <w:rFonts w:hint="eastAsia" w:ascii="仿宋" w:hAnsi="仿宋" w:eastAsia="仿宋"/>
          <w:sz w:val="32"/>
          <w:szCs w:val="36"/>
        </w:rPr>
        <w:t>在专项整治行动上，紧盯重点领域，持续开展危险化学品、消防、道路运输、城市建设、开发区、危险废物等的安全整治，坚决遏制重特大安全事故发生。区内成立由区委、政府主要负责人为组长的专项整治三年行动领导机构，统筹安排部署专项整治行动。各重点行业领域主管部门成立由主要负责同志牵头的本行业领域专项整治三年行动领导小组，负责组织实施本行业领域专项整治三年行动各项工作。加强专项整治三年行动的动态检查和过程监督，将其纳入安全生产工作考核和党政领导干部绩效考核。综合运用通报、约谈、警示、曝光等有效措施，加强督促检查，并将安全生产整治情况纳入安全生产考核内容。</w:t>
      </w:r>
    </w:p>
    <w:p>
      <w:pPr>
        <w:pStyle w:val="2"/>
        <w:ind w:firstLine="560"/>
        <w:rPr>
          <w:rFonts w:ascii="仿宋" w:hAnsi="仿宋" w:eastAsia="仿宋"/>
          <w:b/>
          <w:bCs/>
          <w:sz w:val="32"/>
          <w:szCs w:val="36"/>
        </w:rPr>
      </w:pPr>
      <w:r>
        <w:rPr>
          <w:rFonts w:ascii="仿宋" w:hAnsi="仿宋" w:eastAsia="仿宋"/>
          <w:b/>
          <w:bCs/>
          <w:sz w:val="32"/>
          <w:szCs w:val="36"/>
        </w:rPr>
        <w:t>5.</w:t>
      </w:r>
      <w:r>
        <w:rPr>
          <w:rFonts w:hint="eastAsia" w:ascii="仿宋" w:hAnsi="仿宋" w:eastAsia="仿宋"/>
          <w:b/>
          <w:bCs/>
          <w:sz w:val="32"/>
          <w:szCs w:val="36"/>
        </w:rPr>
        <w:t>规范安全生产执法工作</w:t>
      </w:r>
    </w:p>
    <w:p>
      <w:pPr>
        <w:ind w:firstLine="560"/>
        <w:rPr>
          <w:rFonts w:ascii="仿宋" w:hAnsi="仿宋" w:eastAsia="仿宋"/>
          <w:sz w:val="32"/>
          <w:szCs w:val="36"/>
        </w:rPr>
      </w:pPr>
      <w:r>
        <w:rPr>
          <w:rFonts w:hint="eastAsia" w:ascii="仿宋" w:hAnsi="仿宋" w:eastAsia="仿宋"/>
          <w:sz w:val="32"/>
          <w:szCs w:val="36"/>
        </w:rPr>
        <w:t>厘清安全生产综合监管与行业监管的关系，依法依规制定安全生产权力和责任清单，明确安全生产监督管理职责部门的执法责任和监管范围。严格执行“双随机、一公开” 制度，应用“互联网+监管（执法）”模式，对风险隐患实行“责任制+清单制”管理。推广“工作人员+专家”行政监管执法模式，持续开展事故高发领域专项治理。</w:t>
      </w:r>
      <w:r>
        <w:rPr>
          <w:rFonts w:hint="eastAsia" w:ascii="仿宋" w:hAnsi="仿宋" w:eastAsia="仿宋"/>
          <w:sz w:val="32"/>
          <w:szCs w:val="24"/>
        </w:rPr>
        <w:t>充分发挥各乡镇街道在全区安全生产行政执法工作中的堡垒作用，进一步夯实基层执法工作力量，提高乡镇街道执法人员在执法过程中的规范性和专业性，起到对乡镇街道基层执法人员的“传、帮、带”作用，实现基层安全执法工作齐抓共管、响应迅速、无缝衔接的安全执法新局面。</w:t>
      </w:r>
    </w:p>
    <w:p>
      <w:pPr>
        <w:pStyle w:val="2"/>
        <w:rPr>
          <w:rFonts w:ascii="仿宋" w:hAnsi="仿宋" w:eastAsia="仿宋"/>
          <w:sz w:val="32"/>
          <w:szCs w:val="36"/>
        </w:rPr>
      </w:pPr>
      <w:r>
        <w:rPr>
          <w:rFonts w:hint="eastAsia" w:ascii="仿宋" w:hAnsi="仿宋" w:eastAsia="仿宋"/>
        </w:rPr>
        <w:t xml:space="preserve"> </w:t>
      </w:r>
      <w:r>
        <w:rPr>
          <w:rFonts w:ascii="仿宋" w:hAnsi="仿宋" w:eastAsia="仿宋"/>
        </w:rPr>
        <w:t xml:space="preserve">   </w:t>
      </w:r>
      <w:r>
        <w:rPr>
          <w:rFonts w:hint="eastAsia" w:ascii="仿宋" w:hAnsi="仿宋" w:eastAsia="仿宋"/>
          <w:sz w:val="32"/>
          <w:szCs w:val="36"/>
        </w:rPr>
        <w:t>严格执行各重点行业领域的安全生产执法检查标准，做好检查发现问题的督促整改、复查闭环工作。全面执行行政执法公示、全过程记录、重大执法决定法制审核，认真落实集中执法、廉政承诺等各项制度。实现执法主体、执法职责、执法过程、执法方式、执法考核“全链条”。探索建立信任监管与失信惩戒相结合的双向机制，努力做到对违法失信者“利剑高悬”，对诚信守法者“无事不扰”。建立执法和普法相结合的工作机制，开展形式多样的普法教育活动。充分利用新闻媒体，公开曝光安全生产违法和失信行为。大力宣传执法工作，弘扬主旋律，传播正能量，切实维护好应急系统执法的良好形象。</w:t>
      </w:r>
    </w:p>
    <w:p>
      <w:pPr>
        <w:spacing w:line="660" w:lineRule="exact"/>
        <w:ind w:firstLine="643" w:firstLineChars="200"/>
        <w:rPr>
          <w:rFonts w:ascii="仿宋" w:hAnsi="仿宋" w:eastAsia="仿宋"/>
          <w:sz w:val="32"/>
          <w:szCs w:val="36"/>
        </w:rPr>
      </w:pPr>
      <w:bookmarkStart w:id="21" w:name="_Hlk53398255"/>
      <w:r>
        <w:rPr>
          <w:rFonts w:ascii="仿宋" w:hAnsi="仿宋" w:eastAsia="仿宋"/>
          <w:b/>
          <w:bCs/>
          <w:sz w:val="32"/>
          <w:szCs w:val="36"/>
        </w:rPr>
        <w:t>6.</w:t>
      </w:r>
      <w:r>
        <w:rPr>
          <w:rFonts w:hint="eastAsia" w:ascii="仿宋" w:hAnsi="仿宋" w:eastAsia="仿宋"/>
          <w:b/>
          <w:bCs/>
          <w:sz w:val="32"/>
          <w:szCs w:val="36"/>
        </w:rPr>
        <w:t>完善安全生产的双</w:t>
      </w:r>
      <w:bookmarkEnd w:id="21"/>
      <w:r>
        <w:rPr>
          <w:rFonts w:hint="eastAsia" w:ascii="仿宋" w:hAnsi="仿宋" w:eastAsia="仿宋"/>
          <w:b/>
          <w:bCs/>
          <w:sz w:val="32"/>
          <w:szCs w:val="36"/>
        </w:rPr>
        <w:t>重预防机制。</w:t>
      </w:r>
      <w:r>
        <w:rPr>
          <w:rFonts w:hint="eastAsia" w:ascii="仿宋" w:hAnsi="仿宋" w:eastAsia="仿宋"/>
          <w:sz w:val="32"/>
          <w:szCs w:val="36"/>
        </w:rPr>
        <w:t>牢固树立安全发展的理念，持续完善风险管控和隐患排查治理双重预防机制建设。加快构建风险等级管控、隐患排查治理两条防线，对重点领域、重点区域、重点部位、重点环节和重大危险源，采取有效的技术、工程和管理控制措施。</w:t>
      </w:r>
    </w:p>
    <w:p>
      <w:pPr>
        <w:spacing w:line="660" w:lineRule="exact"/>
        <w:ind w:firstLine="640" w:firstLineChars="200"/>
        <w:rPr>
          <w:rFonts w:ascii="仿宋" w:hAnsi="仿宋" w:eastAsia="仿宋"/>
          <w:sz w:val="32"/>
          <w:szCs w:val="36"/>
        </w:rPr>
      </w:pPr>
      <w:r>
        <w:rPr>
          <w:rFonts w:hint="eastAsia" w:ascii="仿宋" w:hAnsi="仿宋" w:eastAsia="仿宋"/>
          <w:sz w:val="32"/>
          <w:szCs w:val="36"/>
        </w:rPr>
        <w:t>双重预防机制内容包括定期开展风险辨识，定期更新风险管控清单、事故隐患清单和安全风险图，使之符合企业实际。构建双重预防机制是针对安全生产领域“认不清、想不到”的突出问题，强调安全生产的关口前移，从隐患排查治理前移到安全风险管控。分析事故发生的全链条，狠抓关键环节，防止安全风险转变成事故隐患、甚至演变成事故。对双重预防机制的运行情况定期评估，及时调整偏差，改进制度，确保双重预防机制的持续改进；从源头上管控高风险项目的准入，持续完善重大风险管控措施和重大隐患治理方案，保障应急联动机制的有效运行，确保双重预防机制常态化运行。</w:t>
      </w:r>
    </w:p>
    <w:p>
      <w:pPr>
        <w:spacing w:line="660" w:lineRule="exact"/>
        <w:ind w:firstLine="643" w:firstLineChars="200"/>
        <w:rPr>
          <w:rFonts w:ascii="仿宋" w:hAnsi="仿宋" w:eastAsia="仿宋"/>
          <w:sz w:val="32"/>
          <w:szCs w:val="36"/>
        </w:rPr>
      </w:pPr>
      <w:r>
        <w:rPr>
          <w:rFonts w:ascii="仿宋" w:hAnsi="仿宋" w:eastAsia="仿宋"/>
          <w:b/>
          <w:sz w:val="32"/>
          <w:szCs w:val="36"/>
        </w:rPr>
        <w:t>7</w:t>
      </w:r>
      <w:r>
        <w:rPr>
          <w:rFonts w:hint="eastAsia" w:ascii="仿宋" w:hAnsi="仿宋" w:eastAsia="仿宋"/>
          <w:b/>
          <w:sz w:val="32"/>
          <w:szCs w:val="36"/>
        </w:rPr>
        <w:t>．协调消防部门做好消防检查。</w:t>
      </w:r>
      <w:r>
        <w:rPr>
          <w:rFonts w:hint="eastAsia" w:ascii="仿宋" w:hAnsi="仿宋" w:eastAsia="仿宋"/>
          <w:sz w:val="32"/>
          <w:szCs w:val="36"/>
        </w:rPr>
        <w:t>定期协调消防部门开展辖区范围市政消火栓、人员密集场所的安全出口、疏散通道、消防设施的检查，及时发现整改火灾隐患；协调消防部门完成区内重点单位员工消防安全教育培训，开展灭火和逃生疏散演练，以提升企业单位火灾防控能力。</w:t>
      </w:r>
    </w:p>
    <w:p>
      <w:pPr>
        <w:spacing w:line="660" w:lineRule="exact"/>
        <w:ind w:firstLine="643" w:firstLineChars="200"/>
        <w:rPr>
          <w:rFonts w:ascii="仿宋" w:hAnsi="仿宋" w:eastAsia="仿宋"/>
          <w:b/>
          <w:sz w:val="32"/>
          <w:szCs w:val="36"/>
        </w:rPr>
      </w:pPr>
      <w:r>
        <w:rPr>
          <w:rFonts w:ascii="仿宋" w:hAnsi="仿宋" w:eastAsia="仿宋"/>
          <w:b/>
          <w:sz w:val="32"/>
          <w:szCs w:val="36"/>
        </w:rPr>
        <w:t>8.</w:t>
      </w:r>
      <w:r>
        <w:rPr>
          <w:rFonts w:hint="eastAsia" w:ascii="仿宋" w:hAnsi="仿宋" w:eastAsia="仿宋"/>
          <w:b/>
          <w:sz w:val="32"/>
          <w:szCs w:val="36"/>
        </w:rPr>
        <w:t>加强全社会安全生产宣传，提高安全生产意识。</w:t>
      </w:r>
      <w:r>
        <w:rPr>
          <w:rFonts w:hint="eastAsia" w:ascii="仿宋" w:hAnsi="仿宋" w:eastAsia="仿宋"/>
          <w:sz w:val="32"/>
          <w:szCs w:val="36"/>
        </w:rPr>
        <w:t>大力弘扬“生命至上、科学救援”理念，开展好安全生产“七进”、“安全生产宣传月”等活动。通过加强企业安全生产宣传教育，推动企业落实安全生产主体责任，提高安全生产水平，预防和减少各类事故特别是重特大生产安全事故发生；要通过加强区内校园安全生产宣传教育，面向广大学生普及安全知识技能，强化安全意识素质，做到从早抓起、从小抓起；要通过加强机关安全生产宣传教育，推动地方各级党委、政府牢固树立发展决不能以牺牲安全为代价的红线意识，落实“党政同责、一岗双责、齐抓共管、失职追责”的有关要求，提升机关党员干部自身安全生产理论业务水平；要通过加强社区安全生产宣传教育，促进广大社区居民将“生命至上、安全第一”转化为强烈的自觉意识，有效提升社区这一社会最小细胞的安全运行水平；要通过加强家庭安全生产宣传教育，推动形成有效的安全生产社会治理和良好的安全生产社会秩序；要通过加强公共场所安全生产宣传教育，提升社会公众安全防范意识、应急避险和自救互救能力，预防和减少公共安全事故及群死群伤事故发生。</w:t>
      </w:r>
    </w:p>
    <w:p>
      <w:pPr>
        <w:keepNext/>
        <w:keepLines/>
        <w:spacing w:before="60" w:after="60" w:line="660" w:lineRule="exact"/>
        <w:outlineLvl w:val="1"/>
        <w:rPr>
          <w:rFonts w:ascii="仿宋" w:hAnsi="仿宋" w:eastAsia="仿宋"/>
          <w:b/>
          <w:bCs/>
          <w:sz w:val="32"/>
          <w:szCs w:val="32"/>
        </w:rPr>
      </w:pPr>
      <w:bookmarkStart w:id="22" w:name="_Toc53434460"/>
      <w:r>
        <w:rPr>
          <w:rFonts w:hint="eastAsia" w:ascii="仿宋" w:hAnsi="仿宋" w:eastAsia="仿宋"/>
          <w:b/>
          <w:bCs/>
          <w:sz w:val="32"/>
          <w:szCs w:val="32"/>
        </w:rPr>
        <w:t>（四）强化应急救援力量体系建设，提升应急救援能力</w:t>
      </w:r>
      <w:bookmarkEnd w:id="22"/>
    </w:p>
    <w:p>
      <w:pPr>
        <w:spacing w:line="660" w:lineRule="exact"/>
        <w:ind w:firstLine="640" w:firstLineChars="200"/>
        <w:rPr>
          <w:rFonts w:ascii="仿宋" w:hAnsi="仿宋" w:eastAsia="仿宋"/>
          <w:b/>
          <w:bCs/>
          <w:sz w:val="32"/>
          <w:szCs w:val="36"/>
        </w:rPr>
      </w:pPr>
      <w:r>
        <w:rPr>
          <w:rFonts w:hint="eastAsia" w:ascii="仿宋" w:hAnsi="仿宋" w:eastAsia="仿宋"/>
          <w:sz w:val="32"/>
          <w:szCs w:val="36"/>
        </w:rPr>
        <w:t>以辖区内可调动的应急队伍和力量为基础，组织</w:t>
      </w:r>
      <w:bookmarkStart w:id="23" w:name="_Hlk53432980"/>
      <w:r>
        <w:rPr>
          <w:rFonts w:hint="eastAsia" w:ascii="仿宋" w:hAnsi="仿宋" w:eastAsia="仿宋"/>
          <w:sz w:val="32"/>
          <w:szCs w:val="36"/>
        </w:rPr>
        <w:t>乡镇（街道）</w:t>
      </w:r>
      <w:bookmarkEnd w:id="23"/>
      <w:r>
        <w:rPr>
          <w:rFonts w:hint="eastAsia" w:ascii="仿宋" w:hAnsi="仿宋" w:eastAsia="仿宋"/>
          <w:sz w:val="32"/>
          <w:szCs w:val="36"/>
        </w:rPr>
        <w:t>普通民兵、医院、学校及所属单位、企业等人员，组建乡镇（街道）综合性应急救援队伍，队长由镇长（街道主任）兼任。组建社区综合性、松散型兼职应急救援队伍，队长由村（社区）主任兼任。应急救援队伍主要负责辖区内灾害事故的先期处置和救援、组织群众疏散等工作，要根据辖区内自然灾害和安全风险隐患情况，定期进行应急救援演练，不断提高现场处置和应急救援实战能力。依托区内重点行业、企业，提档升级化工、火场及水域搜救等专业救援队伍。鼓励重点行业领域建设专业救援队伍，面向社会提供有偿救援服务。依托省级、市级应急救援力量信息化平台实现救援队伍数据共享利用，提高救援队伍精准救援能力。</w:t>
      </w:r>
    </w:p>
    <w:p>
      <w:pPr>
        <w:spacing w:line="660" w:lineRule="exact"/>
        <w:ind w:firstLine="640" w:firstLineChars="200"/>
        <w:rPr>
          <w:rFonts w:ascii="仿宋" w:hAnsi="仿宋" w:eastAsia="仿宋"/>
          <w:sz w:val="32"/>
          <w:szCs w:val="36"/>
        </w:rPr>
      </w:pPr>
      <w:r>
        <w:rPr>
          <w:rFonts w:hint="eastAsia" w:ascii="仿宋" w:hAnsi="仿宋" w:eastAsia="仿宋"/>
          <w:sz w:val="32"/>
          <w:szCs w:val="36"/>
        </w:rPr>
        <w:t>立足抗大灾、抢大险，组建区应急管理部门直接管理的、具有一定规模的“全灾种”应急救援队伍，强化防汛抗洪抢险、地震和地质灾害救援、森林草原防灭火、水域救援、航空救援、安全生产事故救援等各类专业救援力量。</w:t>
      </w:r>
      <w:r>
        <w:rPr>
          <w:rFonts w:hint="eastAsia" w:ascii="仿宋" w:hAnsi="仿宋" w:eastAsia="仿宋" w:cs="仿宋"/>
          <w:kern w:val="0"/>
          <w:sz w:val="32"/>
          <w:szCs w:val="32"/>
        </w:rPr>
        <w:t>鼓励支持蓝天救援队、红十字会、社区工作者等民间救援组织，快递从业人员、网约车（货车）司机、心理咨询师、社会组织从业者等社会人群，以及有关企事业单位专家、高校学者参与应急救援工作。应急志愿者组建单位要建立志愿者信息库，并加强对志愿者的培训和管理。地方政府根据情况对志愿者队伍建设给予适当支持。</w:t>
      </w:r>
      <w:r>
        <w:rPr>
          <w:rFonts w:hint="eastAsia" w:ascii="仿宋" w:hAnsi="仿宋" w:eastAsia="仿宋"/>
          <w:sz w:val="32"/>
          <w:szCs w:val="36"/>
        </w:rPr>
        <w:t>依法依规引导和加强社会应急力量建设，确保应急救援工作进行。</w:t>
      </w:r>
      <w:r>
        <w:rPr>
          <w:rFonts w:hint="eastAsia" w:ascii="仿宋" w:hAnsi="仿宋" w:eastAsia="仿宋"/>
          <w:kern w:val="0"/>
          <w:sz w:val="32"/>
          <w:szCs w:val="36"/>
        </w:rPr>
        <w:t>按照“预防为主，平战结合”的原则，制定应急培训计划，组织协调有关人员开展应急队伍培训。</w:t>
      </w:r>
    </w:p>
    <w:p>
      <w:pPr>
        <w:keepNext/>
        <w:keepLines/>
        <w:spacing w:before="60" w:after="60" w:line="660" w:lineRule="exact"/>
        <w:outlineLvl w:val="1"/>
        <w:rPr>
          <w:rFonts w:ascii="仿宋" w:hAnsi="仿宋" w:eastAsia="仿宋"/>
          <w:b/>
          <w:bCs/>
          <w:sz w:val="32"/>
          <w:szCs w:val="32"/>
        </w:rPr>
      </w:pPr>
      <w:bookmarkStart w:id="24" w:name="_Toc53434461"/>
      <w:r>
        <w:rPr>
          <w:rFonts w:hint="eastAsia" w:ascii="仿宋" w:hAnsi="仿宋" w:eastAsia="仿宋"/>
          <w:b/>
          <w:bCs/>
          <w:sz w:val="32"/>
          <w:szCs w:val="32"/>
        </w:rPr>
        <w:t>（五）强化应急物资储备，增强应急保障能力</w:t>
      </w:r>
      <w:bookmarkEnd w:id="24"/>
    </w:p>
    <w:p>
      <w:pPr>
        <w:pStyle w:val="2"/>
        <w:spacing w:line="660" w:lineRule="exact"/>
        <w:ind w:firstLine="640" w:firstLineChars="200"/>
        <w:rPr>
          <w:rFonts w:ascii="仿宋" w:hAnsi="仿宋" w:eastAsia="仿宋"/>
          <w:sz w:val="32"/>
          <w:szCs w:val="36"/>
        </w:rPr>
      </w:pPr>
      <w:r>
        <w:rPr>
          <w:rFonts w:hint="eastAsia" w:ascii="仿宋" w:hAnsi="仿宋" w:eastAsia="仿宋"/>
          <w:sz w:val="32"/>
          <w:szCs w:val="36"/>
        </w:rPr>
        <w:t>实施朝阳区应急物资储备库建设工程，参照应急物资分类国家标准，建立健全应急物资储备标准，明确应急物资的品类标准、储备规模、储备库选址，加强适合朝阳区气候特点的物资储备，加快形成符合朝阳区实际的应急物资储备网络。推进建立应急物资信息共享机制，调用、补偿和保障机制，提高应急物资储备保障能力。定期对应急物资进行调试、维修，建立物资保障专家库，编制救灾和物资保障应急预案，组织实施预案培训演练和指导监督工作。</w:t>
      </w:r>
    </w:p>
    <w:p>
      <w:pPr>
        <w:spacing w:line="660" w:lineRule="exact"/>
        <w:ind w:firstLine="640" w:firstLineChars="200"/>
        <w:rPr>
          <w:rFonts w:ascii="仿宋" w:hAnsi="仿宋" w:eastAsia="仿宋"/>
          <w:bCs/>
          <w:sz w:val="32"/>
          <w:szCs w:val="32"/>
        </w:rPr>
      </w:pPr>
      <w:r>
        <w:rPr>
          <w:rFonts w:hint="eastAsia" w:ascii="仿宋" w:hAnsi="仿宋" w:eastAsia="仿宋"/>
          <w:bCs/>
          <w:sz w:val="32"/>
          <w:szCs w:val="32"/>
        </w:rPr>
        <w:t>根据朝阳区应急管理工作需要，优化物资物料储备品种，优先储备现代化抢险救援设备装备。编制防汛抢险物资储备规划，制定年度购置计划，督促物资储备单位按时保质保量完成各种物资储备。拓宽物资储备渠道，采取集中储存、现场储备、协议储备等多种形式，满足应急工作的需要。协调相关部门按照要求，足额完成储备物资物料的储备和更新，加强收储、轮换和日常维护管理。财政部门加强物资储备、临时应急资金保障，确保应急资金足额按时到位。</w:t>
      </w:r>
    </w:p>
    <w:p>
      <w:pPr>
        <w:keepNext/>
        <w:keepLines/>
        <w:spacing w:before="60" w:after="60" w:line="660" w:lineRule="exact"/>
        <w:outlineLvl w:val="1"/>
        <w:rPr>
          <w:rFonts w:ascii="仿宋" w:hAnsi="仿宋" w:eastAsia="仿宋"/>
          <w:b/>
          <w:bCs/>
          <w:sz w:val="32"/>
          <w:szCs w:val="32"/>
        </w:rPr>
      </w:pPr>
      <w:bookmarkStart w:id="25" w:name="_Toc53434462"/>
      <w:r>
        <w:rPr>
          <w:rFonts w:hint="eastAsia" w:ascii="仿宋" w:hAnsi="仿宋" w:eastAsia="仿宋"/>
          <w:b/>
          <w:bCs/>
          <w:sz w:val="32"/>
          <w:szCs w:val="32"/>
        </w:rPr>
        <w:t>（六）完善预案体系建设，提高应急处置能力</w:t>
      </w:r>
      <w:bookmarkEnd w:id="25"/>
    </w:p>
    <w:p>
      <w:pPr>
        <w:spacing w:line="6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建立科学完善的备案管理制度，</w:t>
      </w:r>
      <w:r>
        <w:rPr>
          <w:rFonts w:ascii="仿宋" w:hAnsi="仿宋" w:eastAsia="仿宋" w:cs="仿宋"/>
          <w:kern w:val="0"/>
          <w:sz w:val="32"/>
          <w:szCs w:val="32"/>
        </w:rPr>
        <w:t>组织各部门修订总体应急预案，自然灾害类、安全生产类专项预案和部门预案，指导行业企业修编应急预案，加强应急预案评估与改进工作；依靠应急综合大数据平台逐步推动预案的数字化管理和应用。</w:t>
      </w:r>
      <w:r>
        <w:rPr>
          <w:rFonts w:ascii="仿宋" w:hAnsi="仿宋" w:eastAsia="仿宋" w:cs="仿宋"/>
          <w:bCs/>
          <w:kern w:val="0"/>
          <w:sz w:val="32"/>
          <w:szCs w:val="32"/>
        </w:rPr>
        <w:t>突</w:t>
      </w:r>
      <w:r>
        <w:rPr>
          <w:rFonts w:ascii="仿宋" w:hAnsi="仿宋" w:eastAsia="仿宋" w:cs="仿宋"/>
          <w:kern w:val="0"/>
          <w:sz w:val="32"/>
          <w:szCs w:val="32"/>
        </w:rPr>
        <w:t>出风险防控重点，组织开展多形式、高质量的预案演练，推进预案演练常态化管理；通过组织开展洪涝灾害、冰冻暴雪、危化品运输、人员密集场所火灾等实战化演练，落实各环节责任和措施，优化处置流程，锤炼救援队伍，完善指挥协调机制，提升综合救援能力。及时组织应急预案演练评估和修订完善，切实提高预案的实用性。</w:t>
      </w:r>
    </w:p>
    <w:p>
      <w:pPr>
        <w:keepNext/>
        <w:keepLines/>
        <w:spacing w:before="60" w:after="60" w:line="660" w:lineRule="exact"/>
        <w:outlineLvl w:val="1"/>
        <w:rPr>
          <w:rFonts w:ascii="仿宋" w:hAnsi="仿宋" w:eastAsia="仿宋"/>
          <w:b/>
          <w:bCs/>
          <w:sz w:val="32"/>
          <w:szCs w:val="32"/>
        </w:rPr>
      </w:pPr>
      <w:bookmarkStart w:id="26" w:name="_Toc53434463"/>
      <w:r>
        <w:rPr>
          <w:rFonts w:hint="eastAsia" w:ascii="仿宋" w:hAnsi="仿宋" w:eastAsia="仿宋"/>
          <w:b/>
          <w:bCs/>
          <w:sz w:val="32"/>
          <w:szCs w:val="32"/>
        </w:rPr>
        <w:t>（七）加强培训教育，提升应急干部队伍能力</w:t>
      </w:r>
      <w:bookmarkEnd w:id="26"/>
    </w:p>
    <w:p>
      <w:pPr>
        <w:widowControl/>
        <w:shd w:val="clear" w:color="auto" w:fill="FFFFFF"/>
        <w:spacing w:before="100" w:beforeAutospacing="1" w:after="100" w:afterAutospacing="1" w:line="660" w:lineRule="exact"/>
        <w:ind w:firstLine="640" w:firstLineChars="200"/>
        <w:rPr>
          <w:rFonts w:ascii="仿宋" w:hAnsi="仿宋" w:eastAsia="仿宋"/>
        </w:rPr>
      </w:pPr>
      <w:r>
        <w:rPr>
          <w:rFonts w:hint="eastAsia" w:ascii="仿宋" w:hAnsi="仿宋" w:eastAsia="仿宋"/>
          <w:sz w:val="32"/>
          <w:szCs w:val="36"/>
        </w:rPr>
        <w:t>按照属地管理、分级负责的原则，坚持“缺什么、补什么”，采取集中授课和现场教学相结合的方式，组织开展应急管理人员业务培训。区应急管理局每年组织两次以乡镇（街道）应急管理人员、应急救援队伍队员为主的业务培训。培训主要内容为相关法律、法规、规章和政策，以及安全生产（包括消防火灾、森林草原火灾、建筑施工、水利设施等）隐患排查治理、自然灾害（包括水旱、地震、地质、气象等灾害）风险辨识管控、监测预警、信息接报、应急避险、事故灾害初期处置、群众救助等应知应会的基本知识、基本常识和基本技能，不断提升应急管理素质。通过培训，使每名应急管理人员做到“五知十会”，即：知道应急管理的相关法规，会排查隐患、会登记造册；知道防灾减灾的基本要求，会辨识风险、会监测预警；知道灾害救助的政策规定，会统计灾情；知道应急救援的基本常识，会初期处置、会组织疏散；知道信息处理的基本方式，会接报信息、会使用应急管理信息平台。</w:t>
      </w:r>
    </w:p>
    <w:p>
      <w:pPr>
        <w:keepNext/>
        <w:keepLines/>
        <w:spacing w:before="60" w:after="60" w:line="660" w:lineRule="exact"/>
        <w:outlineLvl w:val="1"/>
        <w:rPr>
          <w:rFonts w:ascii="仿宋" w:hAnsi="仿宋" w:eastAsia="仿宋"/>
          <w:b/>
          <w:bCs/>
          <w:sz w:val="32"/>
          <w:szCs w:val="32"/>
        </w:rPr>
      </w:pPr>
      <w:bookmarkStart w:id="27" w:name="_Toc53434464"/>
      <w:r>
        <w:rPr>
          <w:rFonts w:hint="eastAsia" w:ascii="仿宋" w:hAnsi="仿宋" w:eastAsia="仿宋"/>
          <w:b/>
          <w:bCs/>
          <w:sz w:val="32"/>
          <w:szCs w:val="32"/>
        </w:rPr>
        <w:t>（八）增强协同意识，提升社会协同能力</w:t>
      </w:r>
      <w:bookmarkEnd w:id="27"/>
    </w:p>
    <w:p>
      <w:pPr>
        <w:spacing w:line="66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1.加强公众应急知识宣传教育。</w:t>
      </w:r>
      <w:r>
        <w:rPr>
          <w:rFonts w:hint="eastAsia" w:ascii="仿宋" w:hAnsi="仿宋" w:eastAsia="仿宋"/>
          <w:sz w:val="32"/>
          <w:szCs w:val="36"/>
        </w:rPr>
        <w:t>充分发挥应急管理部门的宣传教育职能，推动建立与政府部门、消防救援队伍和基层应急部门的宣传联动机制，深化与电视、广播、报纸、出版、网络媒体的战略合作，编制应急管理知识普及教材、影视作品，采取现场宣讲、展板演示、科普文献、宣传记录片、公开课、公益广告、网络虚拟体验馆等形式，面向社会公众普及安全知识，宣传风险隐患识别、安全生产事故预防、突发事件紧急避险、群众自救互救等应急安全知识，提升社会公众的安全意识和突发事件应对能力，筑牢防灾减灾救灾的人民防线。</w:t>
      </w:r>
    </w:p>
    <w:p>
      <w:pPr>
        <w:spacing w:line="66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2.建设社会化应急培训基地。</w:t>
      </w:r>
      <w:r>
        <w:rPr>
          <w:rFonts w:hint="eastAsia" w:ascii="仿宋" w:hAnsi="仿宋" w:eastAsia="仿宋"/>
          <w:sz w:val="32"/>
          <w:szCs w:val="36"/>
        </w:rPr>
        <w:t>充分挖掘社会宣传资源，提升社会公众和企业员工的安全意识和逃生自救技能。依托朝阳区现有防空场地等社会公共场所，建设面向社会公众的应急培训基地，提升社会公众的安全意识和逃生自救技能。</w:t>
      </w:r>
    </w:p>
    <w:p>
      <w:pPr>
        <w:spacing w:line="66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3.建立协同联动的社会动员机制。</w:t>
      </w:r>
      <w:r>
        <w:rPr>
          <w:rFonts w:hint="eastAsia" w:ascii="仿宋" w:hAnsi="仿宋" w:eastAsia="仿宋"/>
          <w:sz w:val="32"/>
          <w:szCs w:val="36"/>
        </w:rPr>
        <w:t>研究制定应急管理社会动员机制建设意见，修改充实安全隐患举报奖励办法，引导社会组织、企事业单位及社会公众等社会应急力量积极参与安全隐患举报和突发事件应对，全面提升应急管理社会协同能力，形成全社会共同参与的社会氛围。探索科学合理的协同管理机制，推动社会应急力量与政府形成合作协议关系，在资金、装备、办公场所等方面给予社会志愿队伍政策支持，提高社会协同机制的可操作性。</w:t>
      </w:r>
    </w:p>
    <w:p>
      <w:pPr>
        <w:spacing w:line="660" w:lineRule="exact"/>
        <w:rPr>
          <w:rFonts w:ascii="仿宋" w:hAnsi="仿宋" w:eastAsia="仿宋"/>
          <w:b/>
          <w:bCs/>
          <w:sz w:val="32"/>
          <w:szCs w:val="32"/>
        </w:rPr>
      </w:pPr>
    </w:p>
    <w:p>
      <w:pPr>
        <w:pStyle w:val="2"/>
        <w:spacing w:line="660" w:lineRule="exact"/>
        <w:rPr>
          <w:rFonts w:ascii="仿宋" w:hAnsi="仿宋" w:eastAsia="仿宋"/>
        </w:rPr>
      </w:pPr>
    </w:p>
    <w:p>
      <w:pPr>
        <w:spacing w:line="660" w:lineRule="exact"/>
        <w:rPr>
          <w:rFonts w:ascii="仿宋" w:hAnsi="仿宋" w:eastAsia="仿宋"/>
        </w:rPr>
      </w:pPr>
    </w:p>
    <w:p>
      <w:pPr>
        <w:rPr>
          <w:rFonts w:hint="eastAsia" w:ascii="仿宋" w:hAnsi="仿宋" w:eastAsia="仿宋"/>
        </w:rPr>
      </w:pPr>
    </w:p>
    <w:p>
      <w:pPr>
        <w:spacing w:line="660" w:lineRule="exact"/>
        <w:ind w:firstLine="723" w:firstLineChars="200"/>
        <w:jc w:val="center"/>
        <w:outlineLvl w:val="0"/>
        <w:rPr>
          <w:rFonts w:ascii="仿宋" w:hAnsi="仿宋" w:eastAsia="仿宋"/>
          <w:b/>
          <w:bCs/>
          <w:sz w:val="36"/>
          <w:szCs w:val="36"/>
        </w:rPr>
      </w:pPr>
      <w:bookmarkStart w:id="28" w:name="_Toc53434465"/>
      <w:r>
        <w:rPr>
          <w:rFonts w:hint="eastAsia" w:ascii="仿宋" w:hAnsi="仿宋" w:eastAsia="仿宋"/>
          <w:b/>
          <w:bCs/>
          <w:sz w:val="36"/>
          <w:szCs w:val="36"/>
        </w:rPr>
        <w:t>四、重点举措</w:t>
      </w:r>
      <w:bookmarkEnd w:id="28"/>
    </w:p>
    <w:p>
      <w:pPr>
        <w:keepNext/>
        <w:keepLines/>
        <w:spacing w:before="60" w:after="60" w:line="660" w:lineRule="exact"/>
        <w:outlineLvl w:val="1"/>
        <w:rPr>
          <w:rFonts w:ascii="仿宋" w:hAnsi="仿宋" w:eastAsia="仿宋"/>
          <w:b/>
          <w:bCs/>
          <w:sz w:val="32"/>
          <w:szCs w:val="32"/>
        </w:rPr>
      </w:pPr>
      <w:bookmarkStart w:id="29" w:name="_Toc53434466"/>
      <w:r>
        <w:rPr>
          <w:rFonts w:hint="eastAsia" w:ascii="仿宋" w:hAnsi="仿宋" w:eastAsia="仿宋"/>
          <w:b/>
          <w:bCs/>
          <w:sz w:val="32"/>
          <w:szCs w:val="32"/>
        </w:rPr>
        <w:t>（一）深化安全生产信用体系建设</w:t>
      </w:r>
      <w:bookmarkEnd w:id="29"/>
    </w:p>
    <w:p>
      <w:pPr>
        <w:pStyle w:val="2"/>
        <w:spacing w:line="6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总体设计规划、分步推进实施、记录惩戒联动”的工作思路，深化安全生产信用体系建设，不断建立健全“以制度建设为核心、信息记录和共享为基础、流程优化再造和系统建设为支撑”的安全生产信用体系。将该信用体系应用到涵盖安全生产执法检查、建设项目安全、隐患督办治理和事故调查处理等各类安全监管信息。加强对生产经营单位安全生产准入和退出的信用审核机制，分类形成企业安全生产信用档案，作为实施安全分类分级监管的重要依据。多部门联动将企业及企业主要负责人安全生产重大违法行为和重大安全隐患记入信用系统，督促生产经营单位全面履行安全生产主体责任，营造安全生产诚信的社会经济发展环境。</w:t>
      </w:r>
    </w:p>
    <w:p>
      <w:pPr>
        <w:keepNext/>
        <w:keepLines/>
        <w:spacing w:before="60" w:after="60" w:line="660" w:lineRule="exact"/>
        <w:outlineLvl w:val="1"/>
        <w:rPr>
          <w:rFonts w:ascii="仿宋" w:hAnsi="仿宋" w:eastAsia="仿宋"/>
          <w:b/>
          <w:bCs/>
          <w:sz w:val="32"/>
          <w:szCs w:val="32"/>
        </w:rPr>
      </w:pPr>
      <w:bookmarkStart w:id="30" w:name="_Toc53434467"/>
      <w:bookmarkStart w:id="31" w:name="_Hlk52985824"/>
      <w:r>
        <w:rPr>
          <w:rFonts w:hint="eastAsia" w:ascii="仿宋" w:hAnsi="仿宋" w:eastAsia="仿宋"/>
          <w:b/>
          <w:bCs/>
          <w:sz w:val="32"/>
          <w:szCs w:val="32"/>
        </w:rPr>
        <w:t>（二）加快推进安全生产责任险</w:t>
      </w:r>
      <w:bookmarkEnd w:id="30"/>
    </w:p>
    <w:bookmarkEnd w:id="31"/>
    <w:p>
      <w:pPr>
        <w:pStyle w:val="2"/>
        <w:spacing w:line="6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在安全生产领域推行安全生产责任保险工作,借助保险公司这支社会力量参与安全监管,对于强化事前风险防范,促进企业进一步落实安全生产主体责任,加大安全生产投入,加强安全生产管理工作,及时消除事故隐患,预防和减少各类生产安全事故的发生,减少企业因生产安全事故所带来的经济损失,减少政府的社会保障负担,促进安全生产形势的进一步稳定好转和安全生产监管模式的创新具有重要的现实意义。借鉴国内先进省份经验，根据市里的统一安排，推行“保险+服务”式安责险，由保险机构为投保单位定期提供安全生产事故预防服务，摊薄第三方服务费用；将安责险投保情况与全区安全生产目标管理责任考核和企业安全信用评价挂钩，切实助力企业安全生产。</w:t>
      </w:r>
    </w:p>
    <w:p>
      <w:pPr>
        <w:keepNext/>
        <w:keepLines/>
        <w:spacing w:before="60" w:after="60" w:line="660" w:lineRule="exact"/>
        <w:outlineLvl w:val="1"/>
        <w:rPr>
          <w:rFonts w:ascii="仿宋" w:hAnsi="仿宋" w:eastAsia="仿宋"/>
          <w:b/>
          <w:bCs/>
          <w:sz w:val="32"/>
          <w:szCs w:val="32"/>
        </w:rPr>
      </w:pPr>
      <w:bookmarkStart w:id="32" w:name="_Toc53434468"/>
      <w:r>
        <w:rPr>
          <w:rFonts w:hint="eastAsia" w:ascii="仿宋" w:hAnsi="仿宋" w:eastAsia="仿宋"/>
          <w:b/>
          <w:bCs/>
          <w:sz w:val="32"/>
          <w:szCs w:val="32"/>
        </w:rPr>
        <w:t>（三）拓宽应急管理资金筹措渠道</w:t>
      </w:r>
      <w:bookmarkEnd w:id="32"/>
    </w:p>
    <w:p>
      <w:pPr>
        <w:widowControl/>
        <w:spacing w:line="6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切实加大财政对应急管理的投入，将应急管理经费纳入公共财政预算，优先给予安排和保障。应急体系建设资金要向规划重点建设项目、重要行业领域倾斜，确保及时拨付。完善政府、企业、社会相结合的多元化应急保障资金投入机制，争取引入行业企业、产业联盟、协会学会等社会资本多渠道筹措应急管理资金，有效解决资金短缺问题。研究落实与应急管理相关的优惠政策措施，建立完善应对突发事件相关资源征用、调用补偿机制。健全应急资金管理使用监督制度，加强应急资金专项管理和资金使用效果评估工作。合理引导金融租赁公司和融资租赁公司按照市场化原则依法依规参与应急管理工作。</w:t>
      </w:r>
    </w:p>
    <w:p>
      <w:pPr>
        <w:keepNext/>
        <w:keepLines/>
        <w:spacing w:before="60" w:after="60" w:line="660" w:lineRule="exact"/>
        <w:outlineLvl w:val="1"/>
        <w:rPr>
          <w:rFonts w:ascii="仿宋" w:hAnsi="仿宋" w:eastAsia="仿宋"/>
          <w:b/>
          <w:bCs/>
          <w:sz w:val="32"/>
          <w:szCs w:val="32"/>
        </w:rPr>
      </w:pPr>
      <w:bookmarkStart w:id="33" w:name="_Toc53434469"/>
      <w:r>
        <w:rPr>
          <w:rFonts w:hint="eastAsia" w:ascii="仿宋" w:hAnsi="仿宋" w:eastAsia="仿宋"/>
          <w:b/>
          <w:bCs/>
          <w:sz w:val="32"/>
          <w:szCs w:val="32"/>
        </w:rPr>
        <w:t>（四）引入第三方安全服务机构</w:t>
      </w:r>
      <w:bookmarkEnd w:id="33"/>
    </w:p>
    <w:p>
      <w:pPr>
        <w:pStyle w:val="14"/>
        <w:shd w:val="clear" w:color="auto" w:fill="FFFFFF"/>
        <w:spacing w:before="0" w:beforeAutospacing="0" w:after="0" w:afterAutospacing="0" w:line="660" w:lineRule="exact"/>
        <w:ind w:firstLine="640" w:firstLineChars="200"/>
        <w:jc w:val="both"/>
        <w:rPr>
          <w:rFonts w:ascii="仿宋" w:hAnsi="仿宋" w:eastAsia="仿宋"/>
        </w:rPr>
      </w:pPr>
      <w:r>
        <w:rPr>
          <w:rFonts w:hint="eastAsia" w:ascii="仿宋" w:hAnsi="仿宋" w:eastAsia="仿宋" w:cs="仿宋"/>
          <w:sz w:val="32"/>
          <w:szCs w:val="32"/>
        </w:rPr>
        <w:t>引入第三方安全服务机构参与安全生产监管和隐患排查，对企业进行安全检查及隐患根源性分析、协助企业完善规章制度、结合朝阳区实际提供法律支持、安全宣传、技术指导等服务，帮助企业落实主体责任，提升安全生产管理水平。在服务过程中，实行差别化管理，对朝阳区建设项目进行安全培训、寻找危险源点、安全隐患评估，提出有针对性的改进措施，为企业安全生产增加了一道“保险栓”。</w:t>
      </w:r>
    </w:p>
    <w:p>
      <w:pPr>
        <w:keepNext/>
        <w:keepLines/>
        <w:spacing w:before="60" w:after="60" w:line="660" w:lineRule="exact"/>
        <w:outlineLvl w:val="1"/>
        <w:rPr>
          <w:rFonts w:ascii="仿宋" w:hAnsi="仿宋" w:eastAsia="仿宋"/>
          <w:b/>
          <w:bCs/>
          <w:sz w:val="32"/>
          <w:szCs w:val="32"/>
        </w:rPr>
      </w:pPr>
      <w:bookmarkStart w:id="34" w:name="_Toc53434470"/>
      <w:r>
        <w:rPr>
          <w:rFonts w:hint="eastAsia" w:ascii="仿宋" w:hAnsi="仿宋" w:eastAsia="仿宋"/>
          <w:b/>
          <w:bCs/>
          <w:sz w:val="32"/>
          <w:szCs w:val="32"/>
        </w:rPr>
        <w:t>（五）积极争取成为智慧应急小区/小镇试点</w:t>
      </w:r>
      <w:bookmarkEnd w:id="34"/>
    </w:p>
    <w:p>
      <w:pPr>
        <w:widowControl/>
        <w:spacing w:line="6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发挥中心城区作用，积极争取成为长春市“智慧应急小区/小镇”试点，并以打造</w:t>
      </w:r>
      <w:bookmarkStart w:id="35" w:name="_Hlk52901952"/>
      <w:r>
        <w:rPr>
          <w:rFonts w:hint="eastAsia" w:ascii="仿宋" w:hAnsi="仿宋" w:eastAsia="仿宋" w:cs="仿宋"/>
          <w:kern w:val="0"/>
          <w:sz w:val="32"/>
          <w:szCs w:val="32"/>
        </w:rPr>
        <w:t>“智慧应急小区</w:t>
      </w:r>
      <w:bookmarkStart w:id="36" w:name="_Hlk52901707"/>
      <w:r>
        <w:rPr>
          <w:rFonts w:hint="eastAsia" w:ascii="仿宋" w:hAnsi="仿宋" w:eastAsia="仿宋" w:cs="仿宋"/>
          <w:kern w:val="0"/>
          <w:sz w:val="32"/>
          <w:szCs w:val="32"/>
        </w:rPr>
        <w:t>/小镇</w:t>
      </w:r>
      <w:bookmarkEnd w:id="36"/>
      <w:r>
        <w:rPr>
          <w:rFonts w:hint="eastAsia" w:ascii="仿宋" w:hAnsi="仿宋" w:eastAsia="仿宋" w:cs="仿宋"/>
          <w:kern w:val="0"/>
          <w:sz w:val="32"/>
          <w:szCs w:val="32"/>
        </w:rPr>
        <w:t>”</w:t>
      </w:r>
      <w:bookmarkEnd w:id="35"/>
      <w:r>
        <w:rPr>
          <w:rFonts w:hint="eastAsia" w:ascii="仿宋" w:hAnsi="仿宋" w:eastAsia="仿宋" w:cs="仿宋"/>
          <w:kern w:val="0"/>
          <w:sz w:val="32"/>
          <w:szCs w:val="32"/>
        </w:rPr>
        <w:t>为契机，不断提升全区应急工作智慧化水平。积极鼓励朝阳区应急领域新兴技术和产品的研发应用，推动应急产业发展和提高各行各业本质安全水平。</w:t>
      </w:r>
    </w:p>
    <w:p>
      <w:pPr>
        <w:spacing w:line="660" w:lineRule="exact"/>
        <w:rPr>
          <w:rFonts w:ascii="仿宋" w:hAnsi="仿宋" w:eastAsia="仿宋"/>
        </w:rPr>
      </w:pPr>
    </w:p>
    <w:p>
      <w:pPr>
        <w:pStyle w:val="2"/>
        <w:spacing w:line="660" w:lineRule="exact"/>
        <w:rPr>
          <w:rFonts w:ascii="仿宋" w:hAnsi="仿宋" w:eastAsia="仿宋"/>
        </w:rPr>
      </w:pPr>
    </w:p>
    <w:p>
      <w:pPr>
        <w:spacing w:line="660" w:lineRule="exact"/>
        <w:rPr>
          <w:rFonts w:ascii="仿宋" w:hAnsi="仿宋" w:eastAsia="仿宋"/>
        </w:rPr>
      </w:pPr>
    </w:p>
    <w:p>
      <w:pPr>
        <w:pStyle w:val="2"/>
        <w:spacing w:line="660" w:lineRule="exact"/>
        <w:rPr>
          <w:rFonts w:ascii="仿宋" w:hAnsi="仿宋" w:eastAsia="仿宋"/>
        </w:rPr>
      </w:pPr>
    </w:p>
    <w:p>
      <w:pPr>
        <w:spacing w:line="660" w:lineRule="exact"/>
        <w:rPr>
          <w:rFonts w:ascii="仿宋" w:hAnsi="仿宋" w:eastAsia="仿宋"/>
        </w:rPr>
      </w:pPr>
    </w:p>
    <w:p>
      <w:pPr>
        <w:pStyle w:val="2"/>
        <w:spacing w:line="660" w:lineRule="exact"/>
        <w:rPr>
          <w:rFonts w:ascii="仿宋" w:hAnsi="仿宋" w:eastAsia="仿宋"/>
        </w:rPr>
      </w:pPr>
    </w:p>
    <w:p>
      <w:pPr>
        <w:spacing w:line="660" w:lineRule="exact"/>
        <w:ind w:firstLine="723" w:firstLineChars="200"/>
        <w:jc w:val="center"/>
        <w:outlineLvl w:val="0"/>
        <w:rPr>
          <w:rFonts w:ascii="仿宋" w:hAnsi="仿宋" w:eastAsia="仿宋"/>
          <w:b/>
          <w:bCs/>
          <w:sz w:val="36"/>
          <w:szCs w:val="36"/>
        </w:rPr>
      </w:pPr>
      <w:bookmarkStart w:id="37" w:name="_Toc53434471"/>
      <w:r>
        <w:rPr>
          <w:rFonts w:hint="eastAsia" w:ascii="仿宋" w:hAnsi="仿宋" w:eastAsia="仿宋"/>
          <w:b/>
          <w:bCs/>
          <w:sz w:val="36"/>
          <w:szCs w:val="36"/>
        </w:rPr>
        <w:t>五、重点工程</w:t>
      </w:r>
      <w:bookmarkEnd w:id="37"/>
    </w:p>
    <w:p>
      <w:pPr>
        <w:keepNext/>
        <w:keepLines/>
        <w:spacing w:before="60" w:after="60" w:line="660" w:lineRule="exact"/>
        <w:outlineLvl w:val="1"/>
        <w:rPr>
          <w:rFonts w:ascii="仿宋" w:hAnsi="仿宋" w:eastAsia="仿宋"/>
          <w:b/>
          <w:bCs/>
          <w:sz w:val="32"/>
          <w:szCs w:val="32"/>
        </w:rPr>
      </w:pPr>
      <w:bookmarkStart w:id="38" w:name="_Toc53434472"/>
      <w:bookmarkStart w:id="39" w:name="_Hlk52887145"/>
      <w:r>
        <w:rPr>
          <w:rFonts w:hint="eastAsia" w:ascii="仿宋" w:hAnsi="仿宋" w:eastAsia="仿宋"/>
          <w:b/>
          <w:bCs/>
          <w:sz w:val="32"/>
          <w:szCs w:val="32"/>
        </w:rPr>
        <w:t>（一）应急救援保障基础设施建设工程</w:t>
      </w:r>
      <w:bookmarkEnd w:id="38"/>
    </w:p>
    <w:p>
      <w:pPr>
        <w:pStyle w:val="2"/>
        <w:spacing w:line="6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随着朝阳区社会经济的发展，安全形势日趋严峻，对政府应急管理能力提出了更高的要求。应急救援指挥中心作为综合应急救援队伍的指挥枢纽，其建设是当前一项非常紧迫的工作任务。按照全省由上至下统一部署原则，完善朝阳区应急救援指挥中心功能，能够统筹力量，整合资源，完善机制，着力构建上下衔接，统一指挥、相互协调，快速反应、功能齐全的综合应急救援力量体系，及时有效应对和处置各类灾害事故，依法担负应急救援工作的组织指挥、综合协调、资源统筹、力量调度等职责和重大灾害事故应急处置及抢险救援任务，有效保障各项突发公共事件的成功处置。开展朝阳区应急救援基地建设，推动应急救援保障及避难安置，负责统筹协调当地应急救援物资、装备等资源;组织实施应急救援训练、培训、演练工作;承担各类突发事件的抢险应急救援、人口安置和相关保障工作。</w:t>
      </w:r>
    </w:p>
    <w:bookmarkEnd w:id="39"/>
    <w:p>
      <w:pPr>
        <w:keepNext/>
        <w:keepLines/>
        <w:spacing w:before="60" w:after="60" w:line="660" w:lineRule="exact"/>
        <w:outlineLvl w:val="1"/>
        <w:rPr>
          <w:rFonts w:ascii="仿宋" w:hAnsi="仿宋" w:eastAsia="仿宋"/>
          <w:b/>
          <w:bCs/>
          <w:sz w:val="32"/>
          <w:szCs w:val="32"/>
        </w:rPr>
      </w:pPr>
      <w:bookmarkStart w:id="40" w:name="_Toc53434473"/>
      <w:r>
        <w:rPr>
          <w:rFonts w:hint="eastAsia" w:ascii="仿宋" w:hAnsi="仿宋" w:eastAsia="仿宋"/>
          <w:b/>
          <w:bCs/>
          <w:sz w:val="32"/>
          <w:szCs w:val="32"/>
        </w:rPr>
        <w:t>（二）应急救援力量建设工程</w:t>
      </w:r>
      <w:bookmarkEnd w:id="40"/>
    </w:p>
    <w:p>
      <w:pPr>
        <w:spacing w:line="660" w:lineRule="exact"/>
        <w:ind w:firstLine="640" w:firstLineChars="200"/>
        <w:rPr>
          <w:rFonts w:ascii="仿宋" w:hAnsi="仿宋" w:eastAsia="仿宋"/>
        </w:rPr>
      </w:pPr>
      <w:r>
        <w:rPr>
          <w:rFonts w:hint="eastAsia" w:ascii="仿宋" w:hAnsi="仿宋" w:eastAsia="仿宋" w:cs="仿宋"/>
          <w:kern w:val="0"/>
          <w:sz w:val="32"/>
          <w:szCs w:val="32"/>
        </w:rPr>
        <w:t>按“统一指挥、专常兼备、反应灵敏、上下联动、平战结合”原则，统筹推进以消防救援队伍为主力，以专业应救援队伍为骨干，以社会应急救援队伍为辅助的朝阳区应急救援力量建设。整合区内现有救援队伍，加快建设专兼结合的应急救援队伍。社区内以辖区可调动的应急队伍和力量为基础，组织乡镇（街道）普通民兵、医院、学校及所属单位、企业等人员，组建乡镇（街道）综合性应急救援队伍，组织村（居）民小组长、普通民兵、卫生所（室）、学校等人员，组建村（社区）综合性、松散型兼职应急救援队伍。加强各类应急救援队伍和有关部门的密切协作和联动，推动各类应急救援队伍信息共享、统一调度、联合训练、协同作战，形成政府主导、属地管理、配合有力、全社会参与的应急工作格局，不断提升应急救援快速响应能力。</w:t>
      </w:r>
    </w:p>
    <w:p>
      <w:pPr>
        <w:keepNext/>
        <w:keepLines/>
        <w:spacing w:before="60" w:after="60" w:line="660" w:lineRule="exact"/>
        <w:outlineLvl w:val="1"/>
        <w:rPr>
          <w:rFonts w:ascii="仿宋" w:hAnsi="仿宋" w:eastAsia="仿宋"/>
          <w:b/>
          <w:bCs/>
          <w:sz w:val="32"/>
          <w:szCs w:val="32"/>
        </w:rPr>
      </w:pPr>
      <w:bookmarkStart w:id="41" w:name="_Toc53434474"/>
      <w:r>
        <w:rPr>
          <w:rFonts w:hint="eastAsia" w:ascii="仿宋" w:hAnsi="仿宋" w:eastAsia="仿宋"/>
          <w:b/>
          <w:bCs/>
          <w:sz w:val="32"/>
          <w:szCs w:val="32"/>
        </w:rPr>
        <w:t>（三）应急管理科技信息化建设工程</w:t>
      </w:r>
      <w:bookmarkEnd w:id="41"/>
    </w:p>
    <w:p>
      <w:pPr>
        <w:pStyle w:val="2"/>
        <w:spacing w:line="660" w:lineRule="exact"/>
        <w:ind w:firstLine="640" w:firstLineChars="200"/>
        <w:rPr>
          <w:rFonts w:ascii="仿宋" w:hAnsi="仿宋" w:eastAsia="仿宋" w:cs="Arial"/>
          <w:sz w:val="32"/>
          <w:szCs w:val="32"/>
        </w:rPr>
      </w:pPr>
      <w:r>
        <w:rPr>
          <w:rFonts w:hint="eastAsia" w:ascii="仿宋" w:hAnsi="仿宋" w:eastAsia="仿宋" w:cs="Arial"/>
          <w:sz w:val="32"/>
          <w:szCs w:val="32"/>
        </w:rPr>
        <w:t>紧密结合朝阳区应急管理工作实际，同省市应急管理信息化建设工程紧密对接，形成全覆盖、功能强大、智能可靠，既独立运行又开放包容的应急管理信息化体系。</w:t>
      </w:r>
      <w:r>
        <w:rPr>
          <w:rFonts w:ascii="仿宋" w:hAnsi="仿宋" w:eastAsia="仿宋" w:cs="Arial"/>
          <w:sz w:val="32"/>
          <w:szCs w:val="32"/>
        </w:rPr>
        <w:t>推进应急指挥技术支撑系统相关技术的发展和应用，进一步完善区应急指挥平台和各专项应急指挥部应急指挥平台功能，提高指挥系统的先进性、实用性和安全性；进一步整合各层级、各有关单位的应急资源，建立完善应急救援队伍、应急物资储备、应急避难场所、大型应急装备和设备、风险源信息等基础数据库。结合公共安全监管的实际需求，充分利用互联网+、物联网、云计算和 5G 信息技术等先进科技手段，推进城市安全和应急管理领域物联网应用建设，建立</w:t>
      </w:r>
      <w:r>
        <w:rPr>
          <w:rFonts w:hint="eastAsia" w:ascii="仿宋" w:hAnsi="仿宋" w:eastAsia="仿宋" w:cs="Arial"/>
          <w:sz w:val="32"/>
          <w:szCs w:val="32"/>
        </w:rPr>
        <w:t>地区</w:t>
      </w:r>
      <w:r>
        <w:rPr>
          <w:rFonts w:ascii="仿宋" w:hAnsi="仿宋" w:eastAsia="仿宋" w:cs="Arial"/>
          <w:sz w:val="32"/>
          <w:szCs w:val="32"/>
        </w:rPr>
        <w:t>应急系统物联网应用体系，全面提升区应急指挥技术支撑系统的科技含量和智能化水平。建成后，可充分运用先进信息技术手段，大力推动资源整合、信息共享和业务协同，不断优化</w:t>
      </w:r>
      <w:r>
        <w:rPr>
          <w:rFonts w:hint="eastAsia" w:ascii="仿宋" w:hAnsi="仿宋" w:eastAsia="仿宋" w:cs="Arial"/>
          <w:sz w:val="32"/>
          <w:szCs w:val="32"/>
        </w:rPr>
        <w:t>地区</w:t>
      </w:r>
      <w:r>
        <w:rPr>
          <w:rFonts w:ascii="仿宋" w:hAnsi="仿宋" w:eastAsia="仿宋" w:cs="Arial"/>
          <w:sz w:val="32"/>
          <w:szCs w:val="32"/>
        </w:rPr>
        <w:t>应急管理水平。依托大数据平台构建科学、高效的应急指挥平台，逐步构建快速、有效的应急指挥体系，提升</w:t>
      </w:r>
      <w:r>
        <w:rPr>
          <w:rFonts w:hint="eastAsia" w:ascii="仿宋" w:hAnsi="仿宋" w:eastAsia="仿宋" w:cs="Arial"/>
          <w:sz w:val="32"/>
          <w:szCs w:val="32"/>
        </w:rPr>
        <w:t>朝阳区</w:t>
      </w:r>
      <w:r>
        <w:rPr>
          <w:rFonts w:ascii="仿宋" w:hAnsi="仿宋" w:eastAsia="仿宋" w:cs="Arial"/>
          <w:sz w:val="32"/>
          <w:szCs w:val="32"/>
        </w:rPr>
        <w:t>应急指挥“智慧化”水平 和城市公共安全“自我完善”功能。</w:t>
      </w:r>
    </w:p>
    <w:p>
      <w:pPr>
        <w:keepNext/>
        <w:keepLines/>
        <w:spacing w:before="60" w:after="60" w:line="660" w:lineRule="exact"/>
        <w:outlineLvl w:val="1"/>
        <w:rPr>
          <w:rFonts w:ascii="仿宋" w:hAnsi="仿宋" w:eastAsia="仿宋"/>
          <w:b/>
          <w:bCs/>
          <w:sz w:val="32"/>
          <w:szCs w:val="32"/>
        </w:rPr>
      </w:pPr>
      <w:bookmarkStart w:id="42" w:name="_Toc53434475"/>
      <w:r>
        <w:rPr>
          <w:rFonts w:hint="eastAsia" w:ascii="仿宋" w:hAnsi="仿宋" w:eastAsia="仿宋"/>
          <w:b/>
          <w:bCs/>
          <w:sz w:val="32"/>
          <w:szCs w:val="32"/>
        </w:rPr>
        <w:t>（四）城乡防灾减灾能力提升工程</w:t>
      </w:r>
      <w:bookmarkEnd w:id="42"/>
    </w:p>
    <w:p>
      <w:pPr>
        <w:pStyle w:val="2"/>
        <w:spacing w:line="660" w:lineRule="exact"/>
        <w:ind w:firstLine="640" w:firstLineChars="200"/>
        <w:rPr>
          <w:rFonts w:ascii="仿宋" w:hAnsi="仿宋" w:eastAsia="仿宋" w:cs="Arial"/>
          <w:sz w:val="32"/>
          <w:szCs w:val="32"/>
        </w:rPr>
      </w:pPr>
      <w:r>
        <w:rPr>
          <w:rFonts w:hint="eastAsia" w:ascii="仿宋" w:hAnsi="仿宋" w:eastAsia="仿宋" w:cs="Arial"/>
          <w:sz w:val="32"/>
          <w:szCs w:val="32"/>
        </w:rPr>
        <w:t>根据《全国灾害综合风险普查总体方案》统一部署，配合长春市局做好朝阳区灾害综合风险普查工作。查准重点区域抗灾能力，梳理和核实灾害设防标准，建立分类型的朝阳区自然灾害风险基础数据库。开展朝阳区自然灾害综合风险评估，编制完成朝阳区1：5万自然灾害综合风险图和自然灾害综合防治区划图，实现综合风险评估结果的定期更新和实际应用。根据风险隐患排查结果，对地震灾害、水旱灾害、地质灾害、气象灾害、森林草原火灾等风险区划等进行修订。对所有风险隐患实行“责任制+清单制”管理，推动精准治理防范，确保风险防范无盲区、无漏洞、无死角。</w:t>
      </w:r>
    </w:p>
    <w:p>
      <w:pPr>
        <w:widowControl/>
        <w:spacing w:line="6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建设智能网格气象监测预报预警系统，提高灾害性天气监测预报预警能力；加强城市内涝风险预报预警能力建设，提升城市内涝风险预警精细化服务水平。结合我区专业消防救援队伍“一专多能”建设，将防汛抢险救援纳入综合救援职能，加大队伍建设投入，提高灾害应对救援能力。优化灾害监测站点布局，开展灾害风险调查评估，加强自然灾害监测预警和风险早期识别，加大农村安全基础设施投入，消除风险隐患，提高城乡自然灾害防治能力。</w:t>
      </w:r>
    </w:p>
    <w:p>
      <w:pPr>
        <w:keepNext/>
        <w:keepLines/>
        <w:spacing w:before="60" w:after="60" w:line="660" w:lineRule="exact"/>
        <w:outlineLvl w:val="1"/>
        <w:rPr>
          <w:rFonts w:ascii="仿宋" w:hAnsi="仿宋" w:eastAsia="仿宋"/>
          <w:b/>
          <w:bCs/>
          <w:sz w:val="32"/>
          <w:szCs w:val="32"/>
        </w:rPr>
      </w:pPr>
      <w:bookmarkStart w:id="43" w:name="_Toc53434476"/>
      <w:r>
        <w:rPr>
          <w:rFonts w:hint="eastAsia" w:ascii="仿宋" w:hAnsi="仿宋" w:eastAsia="仿宋"/>
          <w:b/>
          <w:bCs/>
          <w:sz w:val="32"/>
          <w:szCs w:val="32"/>
        </w:rPr>
        <w:t>（五）综合减灾示范社区建设工程</w:t>
      </w:r>
      <w:bookmarkEnd w:id="43"/>
    </w:p>
    <w:p>
      <w:pPr>
        <w:spacing w:line="6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长春市十四五期间创建国家安全示范城市的部署安排，以构建国家级和省级综合减灾示范社区为主线，严格执行《国家安全发展示范城市评价细则（2019版）》，从城市安全源头治理、风险防控、监督管理、保障能力、应急救援和安全状况等六个方面开展示范社区建设。以“划全分净、全面覆盖”为基本原则，整合现有网格资源和力量，村以村民小组、社区以300-500户居民为基本单元划分为1个网格，将应急管理、安全生产和防灾减灾救灾工作纳入网格重要工作内容，构建应急管理网格化管控体系，与平安建设网格制结合，形成联防联控、群防群治、全社会共同参与的网格化治理格局。</w:t>
      </w:r>
      <w:r>
        <w:rPr>
          <w:rFonts w:ascii="仿宋" w:hAnsi="仿宋" w:eastAsia="仿宋" w:cs="仿宋"/>
          <w:kern w:val="0"/>
          <w:sz w:val="32"/>
          <w:szCs w:val="32"/>
        </w:rPr>
        <w:t>强化社区风险防范预案管理，加强社区应急避难场所建设，加强公共消防设施建设、维护和监督管理。开展平安社区创建，加强安全生产事故防范、职业健康安全常识和防灾减灾科普宣传教育，有序组织开展社区应对突发事件应急演练，提高对自然灾害、事故灾难、公共卫生事件、社会安全事件的预防和处置能力</w:t>
      </w:r>
      <w:r>
        <w:rPr>
          <w:rFonts w:hint="eastAsia" w:ascii="仿宋" w:hAnsi="仿宋" w:eastAsia="仿宋" w:cs="仿宋"/>
          <w:kern w:val="0"/>
          <w:sz w:val="32"/>
          <w:szCs w:val="32"/>
        </w:rPr>
        <w:t>。经过努力，新增国家和省级综合防灾减灾示范社区</w:t>
      </w:r>
      <w:r>
        <w:rPr>
          <w:rFonts w:ascii="仿宋" w:hAnsi="仿宋" w:eastAsia="仿宋" w:cs="仿宋"/>
          <w:kern w:val="0"/>
          <w:sz w:val="32"/>
          <w:szCs w:val="32"/>
        </w:rPr>
        <w:t>2</w:t>
      </w:r>
      <w:r>
        <w:rPr>
          <w:rFonts w:hint="eastAsia" w:ascii="仿宋" w:hAnsi="仿宋" w:eastAsia="仿宋" w:cs="仿宋"/>
          <w:kern w:val="0"/>
          <w:sz w:val="32"/>
          <w:szCs w:val="32"/>
        </w:rPr>
        <w:t>-</w:t>
      </w:r>
      <w:r>
        <w:rPr>
          <w:rFonts w:ascii="仿宋" w:hAnsi="仿宋" w:eastAsia="仿宋" w:cs="仿宋"/>
          <w:kern w:val="0"/>
          <w:sz w:val="32"/>
          <w:szCs w:val="32"/>
        </w:rPr>
        <w:t>3</w:t>
      </w:r>
      <w:r>
        <w:rPr>
          <w:rFonts w:hint="eastAsia" w:ascii="仿宋" w:hAnsi="仿宋" w:eastAsia="仿宋" w:cs="仿宋"/>
          <w:kern w:val="0"/>
          <w:sz w:val="32"/>
          <w:szCs w:val="32"/>
        </w:rPr>
        <w:t>个，力争创建省级综合减灾示范县。通过示范社区创建工作，提高城乡社区防灾减灾救灾能力，提升社区群众应急防范水平。</w:t>
      </w:r>
    </w:p>
    <w:p>
      <w:pPr>
        <w:keepNext/>
        <w:keepLines/>
        <w:spacing w:before="60" w:after="60" w:line="660" w:lineRule="exact"/>
        <w:outlineLvl w:val="1"/>
        <w:rPr>
          <w:rFonts w:ascii="仿宋" w:hAnsi="仿宋" w:eastAsia="仿宋"/>
          <w:b/>
          <w:bCs/>
          <w:sz w:val="32"/>
          <w:szCs w:val="32"/>
        </w:rPr>
      </w:pPr>
      <w:bookmarkStart w:id="44" w:name="_Toc53434477"/>
      <w:r>
        <w:rPr>
          <w:rFonts w:hint="eastAsia" w:ascii="仿宋" w:hAnsi="仿宋" w:eastAsia="仿宋"/>
          <w:b/>
          <w:bCs/>
          <w:sz w:val="32"/>
          <w:szCs w:val="32"/>
        </w:rPr>
        <w:t>（六）应急管理能力提升工程</w:t>
      </w:r>
      <w:bookmarkEnd w:id="44"/>
    </w:p>
    <w:p>
      <w:pPr>
        <w:widowControl/>
        <w:spacing w:line="6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依托长春工程学院吉林应急管理学院“东北地区应急管理创新发展研究中心”，汇聚省内外地方政府应急管理研究专家、应急管理院校高层次人才、行业企业资深管理人员组建专家咨询委员会，为朝阳区提供应急管理咨询决策等智库服务。完善应急管理系统人才培养制度，加强领导干部、基层工作人员、专业技术人员、应急救援人员的基础理论、基本技能、实践实训教育，扩大培训范围和规模，完善定期培训和继续教育机制。深化应急文化建设，加强应急管理部门与传统媒体、新兴媒体战略合作，面向社会公众宣传普及应急知识，实现应急知识有效传播；推动应急安全宣传教育“五进”工作，提升社会公众的安全意识和突发事件应对能力。</w:t>
      </w:r>
    </w:p>
    <w:p>
      <w:pPr>
        <w:spacing w:line="660" w:lineRule="exact"/>
        <w:ind w:firstLine="723" w:firstLineChars="200"/>
        <w:jc w:val="center"/>
        <w:outlineLvl w:val="0"/>
        <w:rPr>
          <w:rFonts w:ascii="仿宋" w:hAnsi="仿宋" w:eastAsia="仿宋"/>
          <w:b/>
          <w:bCs/>
          <w:sz w:val="36"/>
          <w:szCs w:val="36"/>
        </w:rPr>
      </w:pPr>
      <w:bookmarkStart w:id="45" w:name="_Toc53434478"/>
      <w:bookmarkStart w:id="46" w:name="_Toc44664211"/>
      <w:bookmarkStart w:id="47" w:name="_Toc46655432"/>
      <w:r>
        <w:rPr>
          <w:rFonts w:hint="eastAsia" w:ascii="仿宋" w:hAnsi="仿宋" w:eastAsia="仿宋"/>
          <w:b/>
          <w:bCs/>
          <w:sz w:val="36"/>
          <w:szCs w:val="36"/>
        </w:rPr>
        <w:t>六、保障措施</w:t>
      </w:r>
      <w:bookmarkEnd w:id="45"/>
    </w:p>
    <w:p>
      <w:pPr>
        <w:keepNext/>
        <w:keepLines/>
        <w:spacing w:before="60" w:after="60" w:line="660" w:lineRule="exact"/>
        <w:outlineLvl w:val="1"/>
        <w:rPr>
          <w:rFonts w:ascii="仿宋" w:hAnsi="仿宋" w:eastAsia="仿宋"/>
          <w:b/>
          <w:bCs/>
          <w:sz w:val="32"/>
          <w:szCs w:val="32"/>
        </w:rPr>
      </w:pPr>
      <w:bookmarkStart w:id="48" w:name="_Toc53434479"/>
      <w:bookmarkStart w:id="49" w:name="_Toc44664209"/>
      <w:bookmarkStart w:id="50" w:name="_Hlk52903042"/>
      <w:r>
        <w:rPr>
          <w:rFonts w:hint="eastAsia" w:ascii="仿宋" w:hAnsi="仿宋" w:eastAsia="仿宋"/>
          <w:b/>
          <w:bCs/>
          <w:sz w:val="32"/>
          <w:szCs w:val="32"/>
        </w:rPr>
        <w:t>（一）加强组织领导</w:t>
      </w:r>
      <w:bookmarkEnd w:id="48"/>
      <w:bookmarkEnd w:id="49"/>
    </w:p>
    <w:bookmarkEnd w:id="50"/>
    <w:p>
      <w:pPr>
        <w:spacing w:line="6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各有关部门要高度重视、密切合作、上下联动、明确事权、各司其职，共同做好各项工作。加强安全生产、防灾减灾救灾、应急管理工作的组织领导，健全管理体制机制，整合资源、信息共享、形成合力，提高安全生产、防灾减灾救灾、应急管理效果。做好部门专项发展规划与本规划有关内容的衔接与协调，确保规划任务有序推进、目标如期完成。</w:t>
      </w:r>
    </w:p>
    <w:p>
      <w:pPr>
        <w:keepNext/>
        <w:keepLines/>
        <w:spacing w:before="60" w:after="60" w:line="660" w:lineRule="exact"/>
        <w:outlineLvl w:val="1"/>
        <w:rPr>
          <w:rFonts w:ascii="仿宋" w:hAnsi="仿宋" w:eastAsia="仿宋"/>
          <w:b/>
          <w:bCs/>
          <w:sz w:val="32"/>
          <w:szCs w:val="32"/>
        </w:rPr>
      </w:pPr>
      <w:bookmarkStart w:id="51" w:name="_Toc53434480"/>
      <w:r>
        <w:rPr>
          <w:rFonts w:hint="eastAsia" w:ascii="仿宋" w:hAnsi="仿宋" w:eastAsia="仿宋"/>
          <w:b/>
          <w:bCs/>
          <w:sz w:val="32"/>
          <w:szCs w:val="32"/>
        </w:rPr>
        <w:t>（二）加强法律保障</w:t>
      </w:r>
      <w:bookmarkEnd w:id="51"/>
    </w:p>
    <w:p>
      <w:pPr>
        <w:spacing w:line="6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认真贯彻实施国家、省、市、区法律法规和规范性文件，将其有效落实到安全生产、防灾减灾救灾、应急管理工作体系中。加大法律法规宣传和依法实施力度，实现依法防灾、依法监管的工作局面。建立安全生产、防灾减灾救灾、应急管理质量监督管理的规章制度和执行办法，规范履行社会管理和公共服务的职责，规划区内各项活动，保障安全生产、防灾减灾救灾、应急管理各项工作的实施。</w:t>
      </w:r>
    </w:p>
    <w:p>
      <w:pPr>
        <w:keepNext/>
        <w:keepLines/>
        <w:spacing w:before="60" w:after="60" w:line="660" w:lineRule="exact"/>
        <w:outlineLvl w:val="1"/>
        <w:rPr>
          <w:rFonts w:ascii="仿宋" w:hAnsi="仿宋" w:eastAsia="仿宋"/>
          <w:b/>
          <w:bCs/>
          <w:sz w:val="32"/>
          <w:szCs w:val="32"/>
        </w:rPr>
      </w:pPr>
      <w:bookmarkStart w:id="52" w:name="_Toc53434481"/>
      <w:bookmarkStart w:id="53" w:name="_Toc44664210"/>
      <w:r>
        <w:rPr>
          <w:rFonts w:hint="eastAsia" w:ascii="仿宋" w:hAnsi="仿宋" w:eastAsia="仿宋"/>
          <w:b/>
          <w:bCs/>
          <w:sz w:val="32"/>
          <w:szCs w:val="32"/>
        </w:rPr>
        <w:t>（三）加强贯彻落实</w:t>
      </w:r>
      <w:bookmarkEnd w:id="52"/>
      <w:bookmarkEnd w:id="53"/>
    </w:p>
    <w:p>
      <w:pPr>
        <w:spacing w:line="6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坚持长期性目标与阶段性任务相结合、原则性要求与具体化操作相结合，明确应急体系建设的责任主体，把体系建设的各项目标任务分解到具体年度和环节，列出任务清单，健全推进机制。坚持工作项目化、责任人头化、措施具体化，对每一项任务和工程明确“线路图”、细化“时间表”、签好“责任书”，确保实施到位。强化协调配合，做好应急体系建设项目与其他部门专项间的衔接，避免冲突或重复建设。</w:t>
      </w:r>
    </w:p>
    <w:p>
      <w:pPr>
        <w:keepNext/>
        <w:keepLines/>
        <w:spacing w:before="60" w:after="60" w:line="660" w:lineRule="exact"/>
        <w:outlineLvl w:val="1"/>
        <w:rPr>
          <w:rFonts w:ascii="仿宋" w:hAnsi="仿宋" w:eastAsia="仿宋"/>
          <w:b/>
          <w:bCs/>
          <w:sz w:val="32"/>
          <w:szCs w:val="32"/>
        </w:rPr>
      </w:pPr>
      <w:bookmarkStart w:id="54" w:name="_Toc53434482"/>
      <w:bookmarkStart w:id="55" w:name="_Hlk52903361"/>
      <w:r>
        <w:rPr>
          <w:rFonts w:hint="eastAsia" w:ascii="仿宋" w:hAnsi="仿宋" w:eastAsia="仿宋"/>
          <w:b/>
          <w:bCs/>
          <w:sz w:val="32"/>
          <w:szCs w:val="32"/>
        </w:rPr>
        <w:t>（四）加大</w:t>
      </w:r>
      <w:r>
        <w:rPr>
          <w:rFonts w:hint="eastAsia" w:ascii="仿宋" w:hAnsi="仿宋" w:eastAsia="仿宋" w:cs="仿宋_GB2312"/>
          <w:b/>
          <w:bCs/>
          <w:sz w:val="32"/>
          <w:szCs w:val="32"/>
        </w:rPr>
        <w:t>资金</w:t>
      </w:r>
      <w:r>
        <w:rPr>
          <w:rFonts w:hint="eastAsia" w:ascii="仿宋" w:hAnsi="仿宋" w:eastAsia="仿宋"/>
          <w:b/>
          <w:bCs/>
          <w:sz w:val="32"/>
          <w:szCs w:val="32"/>
        </w:rPr>
        <w:t>投入</w:t>
      </w:r>
      <w:bookmarkEnd w:id="46"/>
      <w:bookmarkEnd w:id="47"/>
      <w:bookmarkEnd w:id="54"/>
    </w:p>
    <w:bookmarkEnd w:id="55"/>
    <w:p>
      <w:pPr>
        <w:spacing w:line="6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加大应急管理工作日常经费和应急能力建设经费投入力度，将相关经费纳入财政预算。将应急体系建设所需经费纳入公共财政预算，给予优先安排、全面保障。完善支持安全生产工作政策体系，强化地方财政对安全生产工作的经费保障，优化支出结构，向重点行业领域风险防控、事故隐患消除工作倾斜。完善政府、企业、社会相结合的应急保障资金投入机制，建立应急征用补偿、应急物资采购等制度，完善资金使用和社会监督机制，建立紧急情况下财政资金快速拨付制度。</w:t>
      </w:r>
    </w:p>
    <w:p>
      <w:pPr>
        <w:keepNext/>
        <w:keepLines/>
        <w:spacing w:before="60" w:after="60" w:line="660" w:lineRule="exact"/>
        <w:outlineLvl w:val="1"/>
        <w:rPr>
          <w:rFonts w:ascii="仿宋" w:hAnsi="仿宋" w:eastAsia="仿宋"/>
          <w:b/>
          <w:bCs/>
          <w:sz w:val="32"/>
          <w:szCs w:val="32"/>
        </w:rPr>
      </w:pPr>
      <w:bookmarkStart w:id="56" w:name="_Toc53434483"/>
      <w:r>
        <w:rPr>
          <w:rFonts w:hint="eastAsia" w:ascii="仿宋" w:hAnsi="仿宋" w:eastAsia="仿宋"/>
          <w:b/>
          <w:bCs/>
          <w:sz w:val="32"/>
          <w:szCs w:val="32"/>
        </w:rPr>
        <w:t>（五）加强评估考核</w:t>
      </w:r>
      <w:bookmarkEnd w:id="56"/>
    </w:p>
    <w:p>
      <w:pPr>
        <w:spacing w:line="6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建立规划实施跟踪评估制度，加强对本规划实施情况的跟踪分析和监督检查。由区应急管理局定期组织专家分阶段对规划进展和落实情况进行考核评估，分析检查规划实施效果，找出规划实施中存在的问题，提出解决问题的对策措施。将规划实施情况作为相关单位及责任人工作职责完成情况的重要考核内容，以及有关项目支持的重要参考依据。</w:t>
      </w:r>
    </w:p>
    <w:p>
      <w:pPr>
        <w:keepNext/>
        <w:keepLines/>
        <w:spacing w:before="60" w:after="60" w:line="660" w:lineRule="exact"/>
        <w:outlineLvl w:val="1"/>
        <w:rPr>
          <w:rFonts w:ascii="仿宋" w:hAnsi="仿宋" w:eastAsia="仿宋"/>
          <w:b/>
          <w:bCs/>
          <w:sz w:val="32"/>
          <w:szCs w:val="32"/>
        </w:rPr>
      </w:pPr>
      <w:bookmarkStart w:id="57" w:name="_Toc46655433"/>
      <w:bookmarkStart w:id="58" w:name="_Toc44664212"/>
      <w:bookmarkStart w:id="59" w:name="_Toc53434484"/>
      <w:r>
        <w:rPr>
          <w:rFonts w:hint="eastAsia" w:ascii="仿宋" w:hAnsi="仿宋" w:eastAsia="仿宋"/>
          <w:b/>
          <w:bCs/>
          <w:sz w:val="32"/>
          <w:szCs w:val="32"/>
        </w:rPr>
        <w:t>（六）加强合作交流</w:t>
      </w:r>
      <w:bookmarkEnd w:id="57"/>
      <w:bookmarkEnd w:id="58"/>
      <w:bookmarkEnd w:id="59"/>
    </w:p>
    <w:p>
      <w:pPr>
        <w:spacing w:line="6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进一步加强部门之间、政企之间、行业之间、地区之间应对突发事件协同合作机制，深化交流合作，建立长效机制，促进优势互补，实现共同发展。积极开展与地区应急管理领域的合作与交流，密切跟踪地区最新动态和发展趋势，学习借鉴成功经验，引进先进技术与管理模式，促进应急管理水平整体提升。</w:t>
      </w:r>
    </w:p>
    <w:p>
      <w:pPr>
        <w:spacing w:line="660" w:lineRule="exact"/>
        <w:rPr>
          <w:rFonts w:ascii="仿宋" w:hAnsi="仿宋" w:eastAsia="仿宋"/>
        </w:rPr>
      </w:pPr>
    </w:p>
    <w:sectPr>
      <w:type w:val="continuous"/>
      <w:pgSz w:w="11906" w:h="16838"/>
      <w:pgMar w:top="1440" w:right="1800" w:bottom="1440" w:left="180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612996"/>
      <w:docPartObj>
        <w:docPartGallery w:val="AutoText"/>
      </w:docPartObj>
    </w:sdtPr>
    <w:sdtContent>
      <w:p>
        <w:pPr>
          <w:pStyle w:val="10"/>
          <w:jc w:val="center"/>
        </w:pPr>
        <w:r>
          <w:fldChar w:fldCharType="begin"/>
        </w:r>
        <w:r>
          <w:instrText xml:space="preserve">PAGE   \* MERGEFORMAT</w:instrText>
        </w:r>
        <w:r>
          <w:fldChar w:fldCharType="separate"/>
        </w:r>
        <w:r>
          <w:rPr>
            <w:lang w:val="zh-CN"/>
          </w:rPr>
          <w:t>16</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1F"/>
    <w:rsid w:val="00005D41"/>
    <w:rsid w:val="0003325B"/>
    <w:rsid w:val="00037324"/>
    <w:rsid w:val="00052F16"/>
    <w:rsid w:val="0006184F"/>
    <w:rsid w:val="000639EC"/>
    <w:rsid w:val="0006514D"/>
    <w:rsid w:val="000A0FF2"/>
    <w:rsid w:val="000B665E"/>
    <w:rsid w:val="000C19F7"/>
    <w:rsid w:val="000C6705"/>
    <w:rsid w:val="000D3F62"/>
    <w:rsid w:val="000F7F02"/>
    <w:rsid w:val="00123D41"/>
    <w:rsid w:val="001370AD"/>
    <w:rsid w:val="001518A5"/>
    <w:rsid w:val="0016664F"/>
    <w:rsid w:val="00193FF1"/>
    <w:rsid w:val="001A4017"/>
    <w:rsid w:val="001B2389"/>
    <w:rsid w:val="001C3BEE"/>
    <w:rsid w:val="001C7A0A"/>
    <w:rsid w:val="001D6F1F"/>
    <w:rsid w:val="001E0FE3"/>
    <w:rsid w:val="001F0B35"/>
    <w:rsid w:val="001F3354"/>
    <w:rsid w:val="0022154F"/>
    <w:rsid w:val="00233887"/>
    <w:rsid w:val="002420D5"/>
    <w:rsid w:val="002445E6"/>
    <w:rsid w:val="00247AC1"/>
    <w:rsid w:val="0025607E"/>
    <w:rsid w:val="00257299"/>
    <w:rsid w:val="0026489B"/>
    <w:rsid w:val="00296275"/>
    <w:rsid w:val="002B21C8"/>
    <w:rsid w:val="002C3632"/>
    <w:rsid w:val="002D2032"/>
    <w:rsid w:val="002E3508"/>
    <w:rsid w:val="002F19C1"/>
    <w:rsid w:val="002F25FE"/>
    <w:rsid w:val="002F759D"/>
    <w:rsid w:val="00300303"/>
    <w:rsid w:val="0031411E"/>
    <w:rsid w:val="00340C2F"/>
    <w:rsid w:val="00350563"/>
    <w:rsid w:val="003605EC"/>
    <w:rsid w:val="00373F09"/>
    <w:rsid w:val="00374A65"/>
    <w:rsid w:val="003753BB"/>
    <w:rsid w:val="00387905"/>
    <w:rsid w:val="00396629"/>
    <w:rsid w:val="003B1C20"/>
    <w:rsid w:val="003B6B24"/>
    <w:rsid w:val="003B7B7F"/>
    <w:rsid w:val="003D4729"/>
    <w:rsid w:val="003E0C9F"/>
    <w:rsid w:val="003E13BA"/>
    <w:rsid w:val="003E2D16"/>
    <w:rsid w:val="003E30DB"/>
    <w:rsid w:val="003E4EDC"/>
    <w:rsid w:val="003F1ACE"/>
    <w:rsid w:val="003F56A2"/>
    <w:rsid w:val="0040243E"/>
    <w:rsid w:val="004142D5"/>
    <w:rsid w:val="00422741"/>
    <w:rsid w:val="00425D30"/>
    <w:rsid w:val="00430BC5"/>
    <w:rsid w:val="00452D01"/>
    <w:rsid w:val="00464FDF"/>
    <w:rsid w:val="00473AB9"/>
    <w:rsid w:val="00493D91"/>
    <w:rsid w:val="004B0BAD"/>
    <w:rsid w:val="004B1A02"/>
    <w:rsid w:val="004B1C44"/>
    <w:rsid w:val="004B3810"/>
    <w:rsid w:val="004C1C45"/>
    <w:rsid w:val="004C1CFE"/>
    <w:rsid w:val="004E5C33"/>
    <w:rsid w:val="004F16FB"/>
    <w:rsid w:val="005023AD"/>
    <w:rsid w:val="00504AFC"/>
    <w:rsid w:val="00512547"/>
    <w:rsid w:val="00515664"/>
    <w:rsid w:val="0053158E"/>
    <w:rsid w:val="00535303"/>
    <w:rsid w:val="0057177F"/>
    <w:rsid w:val="00575E82"/>
    <w:rsid w:val="00584DF4"/>
    <w:rsid w:val="005A02DF"/>
    <w:rsid w:val="005A136A"/>
    <w:rsid w:val="005A43DA"/>
    <w:rsid w:val="005B6D66"/>
    <w:rsid w:val="005C7211"/>
    <w:rsid w:val="005D74F1"/>
    <w:rsid w:val="005E0CCA"/>
    <w:rsid w:val="005F08AC"/>
    <w:rsid w:val="005F6105"/>
    <w:rsid w:val="005F65D9"/>
    <w:rsid w:val="005F6A2C"/>
    <w:rsid w:val="00603616"/>
    <w:rsid w:val="00620C97"/>
    <w:rsid w:val="00626F76"/>
    <w:rsid w:val="00655767"/>
    <w:rsid w:val="0066307B"/>
    <w:rsid w:val="00685BA7"/>
    <w:rsid w:val="00696AF4"/>
    <w:rsid w:val="006A2961"/>
    <w:rsid w:val="006A2AE1"/>
    <w:rsid w:val="006A35B1"/>
    <w:rsid w:val="006B6450"/>
    <w:rsid w:val="006D244F"/>
    <w:rsid w:val="007050FC"/>
    <w:rsid w:val="00706329"/>
    <w:rsid w:val="00711592"/>
    <w:rsid w:val="00724C13"/>
    <w:rsid w:val="00732A07"/>
    <w:rsid w:val="00743985"/>
    <w:rsid w:val="00751AAE"/>
    <w:rsid w:val="007734B9"/>
    <w:rsid w:val="00773CD9"/>
    <w:rsid w:val="007879FC"/>
    <w:rsid w:val="00793942"/>
    <w:rsid w:val="007A0CBD"/>
    <w:rsid w:val="007B49D0"/>
    <w:rsid w:val="007F336E"/>
    <w:rsid w:val="007F6DAC"/>
    <w:rsid w:val="00813FA9"/>
    <w:rsid w:val="0082678F"/>
    <w:rsid w:val="00830BAB"/>
    <w:rsid w:val="00836DA7"/>
    <w:rsid w:val="008414C2"/>
    <w:rsid w:val="00841C22"/>
    <w:rsid w:val="00842F72"/>
    <w:rsid w:val="008466B7"/>
    <w:rsid w:val="008642C0"/>
    <w:rsid w:val="008729A9"/>
    <w:rsid w:val="00874C08"/>
    <w:rsid w:val="00892F46"/>
    <w:rsid w:val="008B1041"/>
    <w:rsid w:val="008B5934"/>
    <w:rsid w:val="008B6D46"/>
    <w:rsid w:val="008C02B4"/>
    <w:rsid w:val="008F5FA6"/>
    <w:rsid w:val="00912448"/>
    <w:rsid w:val="00924205"/>
    <w:rsid w:val="009659FC"/>
    <w:rsid w:val="00971434"/>
    <w:rsid w:val="009767C1"/>
    <w:rsid w:val="009A2C1A"/>
    <w:rsid w:val="009D1F3D"/>
    <w:rsid w:val="009D28CA"/>
    <w:rsid w:val="009E20D1"/>
    <w:rsid w:val="009E416F"/>
    <w:rsid w:val="009E5D8E"/>
    <w:rsid w:val="009F7635"/>
    <w:rsid w:val="00A03853"/>
    <w:rsid w:val="00A2575B"/>
    <w:rsid w:val="00A41851"/>
    <w:rsid w:val="00A41C91"/>
    <w:rsid w:val="00A55CA8"/>
    <w:rsid w:val="00AB236F"/>
    <w:rsid w:val="00AB7944"/>
    <w:rsid w:val="00AC396D"/>
    <w:rsid w:val="00AD1C00"/>
    <w:rsid w:val="00AE3316"/>
    <w:rsid w:val="00AE34D0"/>
    <w:rsid w:val="00AE79D6"/>
    <w:rsid w:val="00AF00BB"/>
    <w:rsid w:val="00AF55AD"/>
    <w:rsid w:val="00AF6E33"/>
    <w:rsid w:val="00B334F4"/>
    <w:rsid w:val="00B37009"/>
    <w:rsid w:val="00B553F4"/>
    <w:rsid w:val="00B56F54"/>
    <w:rsid w:val="00B60167"/>
    <w:rsid w:val="00B848AE"/>
    <w:rsid w:val="00B9595F"/>
    <w:rsid w:val="00BD3049"/>
    <w:rsid w:val="00C37739"/>
    <w:rsid w:val="00C6293C"/>
    <w:rsid w:val="00C70CC6"/>
    <w:rsid w:val="00C731A8"/>
    <w:rsid w:val="00C77776"/>
    <w:rsid w:val="00C8068A"/>
    <w:rsid w:val="00C865D8"/>
    <w:rsid w:val="00CA1025"/>
    <w:rsid w:val="00CA3329"/>
    <w:rsid w:val="00CA66CC"/>
    <w:rsid w:val="00CA6BBE"/>
    <w:rsid w:val="00CC0513"/>
    <w:rsid w:val="00CC5778"/>
    <w:rsid w:val="00CC57F6"/>
    <w:rsid w:val="00CD6096"/>
    <w:rsid w:val="00CD641F"/>
    <w:rsid w:val="00CF04E1"/>
    <w:rsid w:val="00CF324D"/>
    <w:rsid w:val="00CF76CF"/>
    <w:rsid w:val="00D20E00"/>
    <w:rsid w:val="00D40E83"/>
    <w:rsid w:val="00D51B59"/>
    <w:rsid w:val="00D552DE"/>
    <w:rsid w:val="00D57CE3"/>
    <w:rsid w:val="00D616EE"/>
    <w:rsid w:val="00D6392A"/>
    <w:rsid w:val="00D74715"/>
    <w:rsid w:val="00D7634C"/>
    <w:rsid w:val="00D76A8D"/>
    <w:rsid w:val="00D97F98"/>
    <w:rsid w:val="00DA1444"/>
    <w:rsid w:val="00DB2A5D"/>
    <w:rsid w:val="00DC6BE4"/>
    <w:rsid w:val="00DD05F7"/>
    <w:rsid w:val="00DD1300"/>
    <w:rsid w:val="00DD3EFA"/>
    <w:rsid w:val="00DD727B"/>
    <w:rsid w:val="00DF27AC"/>
    <w:rsid w:val="00DF7FC5"/>
    <w:rsid w:val="00E1308D"/>
    <w:rsid w:val="00E17377"/>
    <w:rsid w:val="00E27A37"/>
    <w:rsid w:val="00E33888"/>
    <w:rsid w:val="00E53D9E"/>
    <w:rsid w:val="00E63A8C"/>
    <w:rsid w:val="00E64B49"/>
    <w:rsid w:val="00E702DC"/>
    <w:rsid w:val="00E73970"/>
    <w:rsid w:val="00E83A20"/>
    <w:rsid w:val="00E9105F"/>
    <w:rsid w:val="00E948E2"/>
    <w:rsid w:val="00E97139"/>
    <w:rsid w:val="00EA44B0"/>
    <w:rsid w:val="00EA5CF8"/>
    <w:rsid w:val="00EB4F6C"/>
    <w:rsid w:val="00EC2DAB"/>
    <w:rsid w:val="00EC74F1"/>
    <w:rsid w:val="00ED6A87"/>
    <w:rsid w:val="00F00950"/>
    <w:rsid w:val="00F034A4"/>
    <w:rsid w:val="00F06288"/>
    <w:rsid w:val="00F10730"/>
    <w:rsid w:val="00F14B22"/>
    <w:rsid w:val="00F1615C"/>
    <w:rsid w:val="00F16AB1"/>
    <w:rsid w:val="00F2755B"/>
    <w:rsid w:val="00F44C43"/>
    <w:rsid w:val="00F51F98"/>
    <w:rsid w:val="00F522EA"/>
    <w:rsid w:val="00F707B8"/>
    <w:rsid w:val="00F731C4"/>
    <w:rsid w:val="00F73EA3"/>
    <w:rsid w:val="00F8008E"/>
    <w:rsid w:val="00F94589"/>
    <w:rsid w:val="00FB191F"/>
    <w:rsid w:val="00FC1F89"/>
    <w:rsid w:val="00FC282F"/>
    <w:rsid w:val="00FD3526"/>
    <w:rsid w:val="00FD5778"/>
    <w:rsid w:val="00FD6D1A"/>
    <w:rsid w:val="00FD79D5"/>
    <w:rsid w:val="00FE5C7E"/>
    <w:rsid w:val="3E4A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0"/>
    <w:rPr>
      <w:rFonts w:ascii="宋体" w:hAnsi="宋体"/>
      <w:sz w:val="28"/>
    </w:rPr>
  </w:style>
  <w:style w:type="paragraph" w:styleId="5">
    <w:name w:val="annotation text"/>
    <w:basedOn w:val="1"/>
    <w:link w:val="32"/>
    <w:semiHidden/>
    <w:unhideWhenUsed/>
    <w:uiPriority w:val="99"/>
    <w:pPr>
      <w:jc w:val="left"/>
    </w:pPr>
  </w:style>
  <w:style w:type="paragraph" w:styleId="6">
    <w:name w:val="Body Text Indent"/>
    <w:basedOn w:val="1"/>
    <w:link w:val="24"/>
    <w:semiHidden/>
    <w:unhideWhenUsed/>
    <w:qFormat/>
    <w:uiPriority w:val="99"/>
    <w:pPr>
      <w:spacing w:after="120"/>
      <w:ind w:left="420" w:leftChars="200"/>
    </w:pPr>
  </w:style>
  <w:style w:type="paragraph" w:styleId="7">
    <w:name w:val="Plain Text"/>
    <w:basedOn w:val="1"/>
    <w:link w:val="31"/>
    <w:qFormat/>
    <w:uiPriority w:val="0"/>
    <w:rPr>
      <w:rFonts w:ascii="宋体" w:hAnsi="Courier New"/>
      <w:szCs w:val="21"/>
    </w:rPr>
  </w:style>
  <w:style w:type="paragraph" w:styleId="8">
    <w:name w:val="Date"/>
    <w:basedOn w:val="1"/>
    <w:next w:val="1"/>
    <w:link w:val="28"/>
    <w:semiHidden/>
    <w:unhideWhenUsed/>
    <w:uiPriority w:val="99"/>
    <w:pPr>
      <w:ind w:left="100" w:leftChars="2500"/>
    </w:pPr>
  </w:style>
  <w:style w:type="paragraph" w:styleId="9">
    <w:name w:val="Balloon Text"/>
    <w:basedOn w:val="1"/>
    <w:link w:val="29"/>
    <w:semiHidden/>
    <w:unhideWhenUsed/>
    <w:uiPriority w:val="99"/>
    <w:rPr>
      <w:sz w:val="18"/>
      <w:szCs w:val="18"/>
    </w:rPr>
  </w:style>
  <w:style w:type="paragraph" w:styleId="10">
    <w:name w:val="footer"/>
    <w:basedOn w:val="1"/>
    <w:link w:val="27"/>
    <w:unhideWhenUsed/>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pPr>
    <w:rPr>
      <w:rFonts w:ascii="仿宋" w:hAnsi="仿宋" w:eastAsia="仿宋"/>
      <w:b/>
      <w:bCs/>
      <w:sz w:val="28"/>
    </w:rPr>
  </w:style>
  <w:style w:type="paragraph" w:styleId="13">
    <w:name w:val="toc 2"/>
    <w:basedOn w:val="1"/>
    <w:next w:val="1"/>
    <w:unhideWhenUsed/>
    <w:qFormat/>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33"/>
    <w:semiHidden/>
    <w:unhideWhenUsed/>
    <w:qFormat/>
    <w:uiPriority w:val="99"/>
    <w:rPr>
      <w:b/>
      <w:bCs/>
    </w:rPr>
  </w:style>
  <w:style w:type="paragraph" w:styleId="16">
    <w:name w:val="Body Text First Indent 2"/>
    <w:basedOn w:val="6"/>
    <w:link w:val="25"/>
    <w:qFormat/>
    <w:uiPriority w:val="0"/>
    <w:pPr>
      <w:spacing w:after="0"/>
      <w:ind w:firstLine="420" w:firstLineChars="200"/>
    </w:pPr>
    <w:rPr>
      <w:szCs w:val="24"/>
    </w:rPr>
  </w:style>
  <w:style w:type="character" w:styleId="19">
    <w:name w:val="Emphasis"/>
    <w:basedOn w:val="18"/>
    <w:qFormat/>
    <w:uiPriority w:val="20"/>
    <w:rPr>
      <w:i/>
      <w:iCs/>
    </w:rPr>
  </w:style>
  <w:style w:type="character" w:styleId="20">
    <w:name w:val="Hyperlink"/>
    <w:basedOn w:val="18"/>
    <w:unhideWhenUsed/>
    <w:uiPriority w:val="99"/>
    <w:rPr>
      <w:color w:val="0563C1" w:themeColor="hyperlink"/>
      <w:u w:val="single"/>
      <w14:textFill>
        <w14:solidFill>
          <w14:schemeClr w14:val="hlink"/>
        </w14:solidFill>
      </w14:textFill>
    </w:rPr>
  </w:style>
  <w:style w:type="character" w:styleId="21">
    <w:name w:val="annotation reference"/>
    <w:basedOn w:val="18"/>
    <w:semiHidden/>
    <w:unhideWhenUsed/>
    <w:uiPriority w:val="99"/>
    <w:rPr>
      <w:sz w:val="21"/>
      <w:szCs w:val="21"/>
    </w:rPr>
  </w:style>
  <w:style w:type="character" w:customStyle="1" w:styleId="22">
    <w:name w:val="标题 2 字符"/>
    <w:basedOn w:val="18"/>
    <w:link w:val="4"/>
    <w:semiHidden/>
    <w:qFormat/>
    <w:uiPriority w:val="0"/>
    <w:rPr>
      <w:rFonts w:ascii="宋体" w:hAnsi="宋体" w:eastAsia="宋体" w:cs="Times New Roman"/>
      <w:b/>
      <w:kern w:val="0"/>
      <w:sz w:val="36"/>
      <w:szCs w:val="36"/>
    </w:rPr>
  </w:style>
  <w:style w:type="character" w:customStyle="1" w:styleId="23">
    <w:name w:val="正文文本 字符"/>
    <w:basedOn w:val="18"/>
    <w:link w:val="2"/>
    <w:qFormat/>
    <w:uiPriority w:val="99"/>
    <w:rPr>
      <w:rFonts w:ascii="宋体" w:hAnsi="宋体" w:eastAsia="宋体" w:cs="Times New Roman"/>
      <w:sz w:val="28"/>
    </w:rPr>
  </w:style>
  <w:style w:type="character" w:customStyle="1" w:styleId="24">
    <w:name w:val="正文文本缩进 字符"/>
    <w:basedOn w:val="18"/>
    <w:link w:val="6"/>
    <w:semiHidden/>
    <w:uiPriority w:val="99"/>
    <w:rPr>
      <w:rFonts w:ascii="Calibri" w:hAnsi="Calibri" w:eastAsia="宋体" w:cs="Times New Roman"/>
    </w:rPr>
  </w:style>
  <w:style w:type="character" w:customStyle="1" w:styleId="25">
    <w:name w:val="正文文本首行缩进 2 字符"/>
    <w:basedOn w:val="24"/>
    <w:link w:val="16"/>
    <w:qFormat/>
    <w:uiPriority w:val="0"/>
    <w:rPr>
      <w:rFonts w:ascii="Calibri" w:hAnsi="Calibri" w:eastAsia="宋体" w:cs="Times New Roman"/>
      <w:szCs w:val="24"/>
    </w:rPr>
  </w:style>
  <w:style w:type="character" w:customStyle="1" w:styleId="26">
    <w:name w:val="页眉 字符"/>
    <w:basedOn w:val="18"/>
    <w:link w:val="11"/>
    <w:qFormat/>
    <w:uiPriority w:val="99"/>
    <w:rPr>
      <w:rFonts w:ascii="Calibri" w:hAnsi="Calibri" w:eastAsia="宋体" w:cs="Times New Roman"/>
      <w:sz w:val="18"/>
      <w:szCs w:val="18"/>
    </w:rPr>
  </w:style>
  <w:style w:type="character" w:customStyle="1" w:styleId="27">
    <w:name w:val="页脚 字符"/>
    <w:basedOn w:val="18"/>
    <w:link w:val="10"/>
    <w:uiPriority w:val="99"/>
    <w:rPr>
      <w:rFonts w:ascii="Calibri" w:hAnsi="Calibri" w:eastAsia="宋体" w:cs="Times New Roman"/>
      <w:sz w:val="18"/>
      <w:szCs w:val="18"/>
    </w:rPr>
  </w:style>
  <w:style w:type="character" w:customStyle="1" w:styleId="28">
    <w:name w:val="日期 字符"/>
    <w:basedOn w:val="18"/>
    <w:link w:val="8"/>
    <w:semiHidden/>
    <w:uiPriority w:val="99"/>
    <w:rPr>
      <w:rFonts w:ascii="Calibri" w:hAnsi="Calibri" w:eastAsia="宋体" w:cs="Times New Roman"/>
    </w:rPr>
  </w:style>
  <w:style w:type="character" w:customStyle="1" w:styleId="29">
    <w:name w:val="批注框文本 字符"/>
    <w:basedOn w:val="18"/>
    <w:link w:val="9"/>
    <w:semiHidden/>
    <w:qFormat/>
    <w:uiPriority w:val="99"/>
    <w:rPr>
      <w:rFonts w:ascii="Calibri" w:hAnsi="Calibri" w:eastAsia="宋体" w:cs="Times New Roman"/>
      <w:sz w:val="18"/>
      <w:szCs w:val="18"/>
    </w:rPr>
  </w:style>
  <w:style w:type="character" w:customStyle="1" w:styleId="30">
    <w:name w:val="标题 1 字符"/>
    <w:basedOn w:val="18"/>
    <w:link w:val="3"/>
    <w:uiPriority w:val="9"/>
    <w:rPr>
      <w:rFonts w:ascii="Calibri" w:hAnsi="Calibri" w:eastAsia="宋体" w:cs="Times New Roman"/>
      <w:b/>
      <w:bCs/>
      <w:kern w:val="44"/>
      <w:sz w:val="44"/>
      <w:szCs w:val="44"/>
    </w:rPr>
  </w:style>
  <w:style w:type="character" w:customStyle="1" w:styleId="31">
    <w:name w:val="纯文本 字符"/>
    <w:basedOn w:val="18"/>
    <w:link w:val="7"/>
    <w:uiPriority w:val="0"/>
    <w:rPr>
      <w:rFonts w:ascii="宋体" w:hAnsi="Courier New" w:eastAsia="宋体" w:cs="Times New Roman"/>
      <w:szCs w:val="21"/>
    </w:rPr>
  </w:style>
  <w:style w:type="character" w:customStyle="1" w:styleId="32">
    <w:name w:val="批注文字 字符"/>
    <w:basedOn w:val="18"/>
    <w:link w:val="5"/>
    <w:semiHidden/>
    <w:uiPriority w:val="99"/>
    <w:rPr>
      <w:rFonts w:ascii="Calibri" w:hAnsi="Calibri" w:eastAsia="宋体" w:cs="Times New Roman"/>
    </w:rPr>
  </w:style>
  <w:style w:type="character" w:customStyle="1" w:styleId="33">
    <w:name w:val="批注主题 字符"/>
    <w:basedOn w:val="32"/>
    <w:link w:val="15"/>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E6B06-A3FF-4DAA-AEDF-66590E722D51}">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21324</Words>
  <Characters>21468</Characters>
  <Lines>171</Lines>
  <Paragraphs>48</Paragraphs>
  <TotalTime>7</TotalTime>
  <ScaleCrop>false</ScaleCrop>
  <LinksUpToDate>false</LinksUpToDate>
  <CharactersWithSpaces>21533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2020-10-22T03:42:00Z</dcterms:created>
  <dc:creator>张 以晨</dc:creator>
  <cp:lastModifiedBy>东北魏大勋</cp:lastModifiedBy>
  <cp:lastPrinted>2020-10-06T02:36:00Z</cp:lastPrinted>
  <dcterms:modified xsi:type="dcterms:W3CDTF">2022-08-30T01:59:48Z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54115DB54702483BB64036DCD01938E9</vt:lpwstr>
  </property>
</Properties>
</file>