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72" w:line="400" w:lineRule="atLeast"/>
        <w:jc w:val="left"/>
        <w:rPr>
          <w:rFonts w:hint="eastAsia" w:ascii="宋体" w:hAnsi="宋体" w:eastAsia="宋体" w:cs="宋体"/>
          <w:b/>
          <w:bCs/>
          <w:color w:val="000036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36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36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000036"/>
          <w:kern w:val="0"/>
          <w:sz w:val="32"/>
          <w:szCs w:val="32"/>
        </w:rPr>
        <w:t>年长春市朝阳区“三公”经费财政拨款预算安排情况</w:t>
      </w:r>
    </w:p>
    <w:p>
      <w:pPr>
        <w:widowControl/>
        <w:spacing w:before="72" w:line="400" w:lineRule="atLeast"/>
        <w:jc w:val="left"/>
        <w:rPr>
          <w:rFonts w:ascii="宋体" w:hAnsi="宋体" w:eastAsia="宋体" w:cs="宋体"/>
          <w:b/>
          <w:bCs/>
          <w:color w:val="000036"/>
          <w:kern w:val="0"/>
          <w:sz w:val="28"/>
          <w:szCs w:val="28"/>
        </w:rPr>
      </w:pPr>
    </w:p>
    <w:tbl>
      <w:tblPr>
        <w:tblStyle w:val="4"/>
        <w:tblW w:w="9817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  <w:tblCellSpacing w:w="0" w:type="dxa"/>
          <w:jc w:val="center"/>
        </w:trPr>
        <w:tc>
          <w:tcPr>
            <w:tcW w:w="9817" w:type="dxa"/>
            <w:shd w:val="clear" w:color="auto" w:fill="FFFFFF"/>
          </w:tcPr>
          <w:p>
            <w:pPr>
              <w:widowControl/>
              <w:spacing w:before="72" w:line="40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年各预算部门，公共预算财政拨款安排的“三公”经费预算数为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  <w:lang w:val="en-US" w:eastAsia="zh-CN"/>
              </w:rPr>
              <w:t>337.6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</w:rPr>
              <w:t>万元，比20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</w:rPr>
              <w:t>年预算数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  <w:lang w:val="en-US" w:eastAsia="zh-CN"/>
              </w:rPr>
              <w:t>增加21.86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</w:rPr>
              <w:t>万元，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highlight w:val="none"/>
                <w:lang w:val="en-US" w:eastAsia="zh-CN"/>
              </w:rPr>
              <w:t>增长6.9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%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lang w:val="en-US" w:eastAsia="zh-CN"/>
              </w:rPr>
              <w:t>。其中：因公出国（境）经费预算数与上年持平。公务接待费预算数与上年持平。公务用车运行维护费较去年增加5.86万元，增长1.9%，是由于2025年长春市疾控中心向我区人民医院调拨两台救护车，向中医院调拨一台救护车，共计增加了三台救护车的运行维护费。公务用车购置预算数增加了16万元，增加100%，是由于我区农业农村局现有执法执勤车辆一辆，为车改后留用旧车。车辆使用年限已达16年，维修养护费用较高，车辆安全性较低，为提高工作安全性和工作效率，需要更新该执法执勤车。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按照国家、省、市有关规定和要求，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  <w:lang w:val="en-US" w:eastAsia="zh-CN"/>
              </w:rPr>
              <w:t>我区</w:t>
            </w: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将继续完善“三公经费”管理制度，细化部门预算编制，加强预算执行管理，严格控制“三公”经费支出规模。</w:t>
            </w:r>
          </w:p>
          <w:p>
            <w:pPr>
              <w:widowControl/>
              <w:spacing w:before="72" w:line="40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tbl>
            <w:tblPr>
              <w:tblStyle w:val="4"/>
              <w:tblW w:w="8574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1"/>
              <w:gridCol w:w="2212"/>
              <w:gridCol w:w="23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6" w:hRule="atLeast"/>
                <w:jc w:val="center"/>
              </w:trPr>
              <w:tc>
                <w:tcPr>
                  <w:tcW w:w="8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 w:val="28"/>
                      <w:szCs w:val="28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36"/>
                      <w:kern w:val="0"/>
                      <w:sz w:val="28"/>
                      <w:szCs w:val="28"/>
                      <w:lang w:val="en-US" w:eastAsia="zh-CN"/>
                    </w:rPr>
                    <w:t>25</w:t>
                  </w:r>
                  <w:r>
                    <w:rPr>
                      <w:rFonts w:ascii="宋体" w:hAnsi="宋体" w:eastAsia="宋体" w:cs="宋体"/>
                      <w:color w:val="000036"/>
                      <w:kern w:val="0"/>
                      <w:sz w:val="28"/>
                      <w:szCs w:val="28"/>
                    </w:rPr>
                    <w:t>年“三公”经费财政拨款预算表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</w:pP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项    目</w:t>
                  </w:r>
                </w:p>
              </w:tc>
              <w:tc>
                <w:tcPr>
                  <w:tcW w:w="221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36"/>
                      <w:kern w:val="0"/>
                      <w:szCs w:val="21"/>
                      <w:lang w:val="en-US" w:eastAsia="zh-CN"/>
                    </w:rPr>
                    <w:t>25</w:t>
                  </w: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年预算数</w:t>
                  </w:r>
                </w:p>
              </w:tc>
              <w:tc>
                <w:tcPr>
                  <w:tcW w:w="237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比20</w:t>
                  </w:r>
                  <w:r>
                    <w:rPr>
                      <w:rFonts w:hint="eastAsia" w:ascii="宋体" w:hAnsi="宋体" w:eastAsia="宋体" w:cs="宋体"/>
                      <w:color w:val="000036"/>
                      <w:kern w:val="0"/>
                      <w:szCs w:val="21"/>
                      <w:lang w:val="en-US" w:eastAsia="zh-CN"/>
                    </w:rPr>
                    <w:t>24</w:t>
                  </w: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年预算数增减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337.6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21.86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</w:rPr>
                    <w:t>1、因公出国（境）费用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  <w:highlight w:val="none"/>
                    </w:rPr>
                    <w:t>2、公务接待费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4.7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  <w:highlight w:val="none"/>
                    </w:rPr>
                    <w:t>3、公务用车费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322.9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21.86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  <w:highlight w:val="none"/>
                    </w:rPr>
                    <w:t>其中：（1）公务用车运行维护费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306.9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5.86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399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 w:cs="宋体"/>
                      <w:color w:val="000036"/>
                      <w:kern w:val="0"/>
                      <w:szCs w:val="21"/>
                      <w:highlight w:val="none"/>
                    </w:rPr>
                    <w:t>     （2）公务用车购置费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5"/>
                      <w:szCs w:val="15"/>
                      <w:highlight w:val="none"/>
                      <w:lang w:val="en-US" w:eastAsia="zh-CN"/>
                    </w:rPr>
                    <w:t>16</w:t>
                  </w:r>
                </w:p>
              </w:tc>
            </w:tr>
          </w:tbl>
          <w:p>
            <w:pPr>
              <w:widowControl/>
              <w:spacing w:before="72" w:line="400" w:lineRule="atLeast"/>
              <w:jc w:val="left"/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</w:pPr>
          </w:p>
          <w:p>
            <w:pPr>
              <w:widowControl/>
              <w:spacing w:before="72" w:line="400" w:lineRule="atLeast"/>
              <w:jc w:val="left"/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</w:pPr>
          </w:p>
          <w:p>
            <w:pPr>
              <w:widowControl/>
              <w:spacing w:before="72" w:line="400" w:lineRule="atLeast"/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注释：</w:t>
            </w:r>
          </w:p>
          <w:p>
            <w:pPr>
              <w:widowControl/>
              <w:spacing w:before="72" w:line="40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1.因公出国（境）费包括单位工作人员公务出国（境）的住宿费、旅费、伙食补助费、杂费、培训费等支出。</w:t>
            </w:r>
          </w:p>
          <w:p>
            <w:pPr>
              <w:widowControl/>
              <w:spacing w:before="72" w:line="40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2.公务用车购置及运行费包括单位公务用车购置费及燃料费、维修费、过路过桥费、保险费等支出。</w:t>
            </w:r>
          </w:p>
          <w:p>
            <w:pPr>
              <w:widowControl/>
              <w:spacing w:before="72" w:line="400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000036"/>
                <w:kern w:val="0"/>
                <w:sz w:val="28"/>
                <w:szCs w:val="28"/>
              </w:rPr>
              <w:t>3.公务接待费包括单位按规定开支的各类公务接待（含外宾接待）支出</w:t>
            </w:r>
            <w:r>
              <w:rPr>
                <w:rFonts w:hint="eastAsia" w:ascii="宋体" w:hAnsi="宋体" w:eastAsia="宋体" w:cs="宋体"/>
                <w:color w:val="000036"/>
                <w:kern w:val="0"/>
                <w:szCs w:val="21"/>
              </w:rPr>
              <w:t>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1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jRiNzU3MWRiZGJiYjg4NGUwNThmMzQ0Zjk1MTkifQ=="/>
  </w:docVars>
  <w:rsids>
    <w:rsidRoot w:val="0AA930BB"/>
    <w:rsid w:val="0054442A"/>
    <w:rsid w:val="00896EA4"/>
    <w:rsid w:val="00A23589"/>
    <w:rsid w:val="00A34882"/>
    <w:rsid w:val="02C521FE"/>
    <w:rsid w:val="088F63CD"/>
    <w:rsid w:val="08BF1EF3"/>
    <w:rsid w:val="0AA930BB"/>
    <w:rsid w:val="0DF10811"/>
    <w:rsid w:val="10D95141"/>
    <w:rsid w:val="13F15B4C"/>
    <w:rsid w:val="16536034"/>
    <w:rsid w:val="198D3E42"/>
    <w:rsid w:val="24631624"/>
    <w:rsid w:val="24A42876"/>
    <w:rsid w:val="29FE4D23"/>
    <w:rsid w:val="2A7C75F7"/>
    <w:rsid w:val="2D7D3A82"/>
    <w:rsid w:val="2FE46F01"/>
    <w:rsid w:val="39EC4FF9"/>
    <w:rsid w:val="3E2C62F2"/>
    <w:rsid w:val="3F62431A"/>
    <w:rsid w:val="4AD14BBC"/>
    <w:rsid w:val="4DAE6E64"/>
    <w:rsid w:val="5897657E"/>
    <w:rsid w:val="59FE7536"/>
    <w:rsid w:val="5DFF6DA9"/>
    <w:rsid w:val="69167BCE"/>
    <w:rsid w:val="69A83AD3"/>
    <w:rsid w:val="69D27691"/>
    <w:rsid w:val="708467E6"/>
    <w:rsid w:val="76314F70"/>
    <w:rsid w:val="77A75D21"/>
    <w:rsid w:val="7E2043F2"/>
    <w:rsid w:val="7F2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408</Words>
  <Characters>452</Characters>
  <Lines>3</Lines>
  <Paragraphs>1</Paragraphs>
  <TotalTime>4</TotalTime>
  <ScaleCrop>false</ScaleCrop>
  <LinksUpToDate>false</LinksUpToDate>
  <CharactersWithSpaces>465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2016-04-28T06:01:00Z</dcterms:created>
  <dc:creator>tangyu</dc:creator>
  <cp:lastModifiedBy>lenovo</cp:lastModifiedBy>
  <cp:lastPrinted>2022-09-05T09:17:00Z</cp:lastPrinted>
  <dcterms:modified xsi:type="dcterms:W3CDTF">2024-12-25T07:59:38Z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9F50007AC0334DEABDDD999CCB09E695</vt:lpwstr>
  </property>
</Properties>
</file>