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C017D6">
      <w:pPr>
        <w:spacing w:after="499" w:afterLines="160" w:line="700" w:lineRule="exact"/>
        <w:jc w:val="center"/>
        <w:rPr>
          <w:rFonts w:hint="default" w:ascii="Times New Roman" w:hAnsi="Times New Roman" w:eastAsia="方正小标宋简体" w:cs="Times New Roman"/>
          <w:snapToGrid w:val="0"/>
          <w:color w:val="000000" w:themeColor="text1"/>
          <w:kern w:val="0"/>
          <w:sz w:val="42"/>
          <w:szCs w:val="42"/>
          <w:lang w:eastAsia="zh-CN"/>
          <w14:textFill>
            <w14:solidFill>
              <w14:schemeClr w14:val="tx1"/>
            </w14:solidFill>
          </w14:textFill>
        </w:rPr>
      </w:pPr>
      <w:r>
        <w:rPr>
          <w:rFonts w:hint="default" w:ascii="Times New Roman" w:hAnsi="Times New Roman" w:eastAsia="方正小标宋简体" w:cs="Times New Roman"/>
          <w:snapToGrid w:val="0"/>
          <w:color w:val="000000" w:themeColor="text1"/>
          <w:kern w:val="0"/>
          <w:sz w:val="42"/>
          <w:szCs w:val="42"/>
          <w:lang w:val="en-US" w:eastAsia="zh-CN"/>
          <w14:textFill>
            <w14:solidFill>
              <w14:schemeClr w14:val="tx1"/>
            </w14:solidFill>
          </w14:textFill>
        </w:rPr>
        <w:t>长春市朝阳区</w:t>
      </w:r>
      <w:r>
        <w:rPr>
          <w:rFonts w:hint="default" w:ascii="Times New Roman" w:hAnsi="Times New Roman" w:eastAsia="方正小标宋简体" w:cs="Times New Roman"/>
          <w:b/>
          <w:bCs/>
          <w:snapToGrid w:val="0"/>
          <w:color w:val="000000" w:themeColor="text1"/>
          <w:kern w:val="0"/>
          <w:sz w:val="42"/>
          <w:szCs w:val="42"/>
          <w14:textFill>
            <w14:solidFill>
              <w14:schemeClr w14:val="tx1"/>
            </w14:solidFill>
          </w14:textFill>
        </w:rPr>
        <w:t>202</w:t>
      </w:r>
      <w:r>
        <w:rPr>
          <w:rFonts w:hint="eastAsia" w:ascii="Times New Roman" w:hAnsi="Times New Roman" w:eastAsia="方正小标宋简体" w:cs="Times New Roman"/>
          <w:b/>
          <w:bCs/>
          <w:snapToGrid w:val="0"/>
          <w:color w:val="000000" w:themeColor="text1"/>
          <w:kern w:val="0"/>
          <w:sz w:val="42"/>
          <w:szCs w:val="42"/>
          <w:lang w:val="en-US" w:eastAsia="zh-CN"/>
          <w14:textFill>
            <w14:solidFill>
              <w14:schemeClr w14:val="tx1"/>
            </w14:solidFill>
          </w14:textFill>
        </w:rPr>
        <w:t>5</w:t>
      </w:r>
      <w:r>
        <w:rPr>
          <w:rFonts w:hint="default" w:ascii="Times New Roman" w:hAnsi="Times New Roman" w:eastAsia="方正小标宋简体" w:cs="Times New Roman"/>
          <w:snapToGrid w:val="0"/>
          <w:color w:val="000000" w:themeColor="text1"/>
          <w:kern w:val="0"/>
          <w:sz w:val="42"/>
          <w:szCs w:val="42"/>
          <w14:textFill>
            <w14:solidFill>
              <w14:schemeClr w14:val="tx1"/>
            </w14:solidFill>
          </w14:textFill>
        </w:rPr>
        <w:t>年预算执行情况和</w:t>
      </w:r>
      <w:r>
        <w:rPr>
          <w:rFonts w:hint="default" w:ascii="Times New Roman" w:hAnsi="Times New Roman" w:eastAsia="方正小标宋简体" w:cs="Times New Roman"/>
          <w:snapToGrid w:val="0"/>
          <w:color w:val="000000" w:themeColor="text1"/>
          <w:kern w:val="0"/>
          <w:sz w:val="42"/>
          <w:szCs w:val="42"/>
          <w:lang w:val="en-US" w:eastAsia="zh-CN"/>
          <w14:textFill>
            <w14:solidFill>
              <w14:schemeClr w14:val="tx1"/>
            </w14:solidFill>
          </w14:textFill>
        </w:rPr>
        <w:t xml:space="preserve">        </w:t>
      </w:r>
      <w:r>
        <w:rPr>
          <w:rFonts w:hint="default" w:ascii="Times New Roman" w:hAnsi="Times New Roman" w:eastAsia="方正小标宋简体" w:cs="Times New Roman"/>
          <w:b/>
          <w:bCs/>
          <w:snapToGrid w:val="0"/>
          <w:color w:val="000000" w:themeColor="text1"/>
          <w:kern w:val="0"/>
          <w:sz w:val="42"/>
          <w:szCs w:val="42"/>
          <w14:textFill>
            <w14:solidFill>
              <w14:schemeClr w14:val="tx1"/>
            </w14:solidFill>
          </w14:textFill>
        </w:rPr>
        <w:t>202</w:t>
      </w:r>
      <w:r>
        <w:rPr>
          <w:rFonts w:hint="eastAsia" w:ascii="Times New Roman" w:hAnsi="Times New Roman" w:eastAsia="方正小标宋简体" w:cs="Times New Roman"/>
          <w:b/>
          <w:bCs/>
          <w:snapToGrid w:val="0"/>
          <w:color w:val="000000" w:themeColor="text1"/>
          <w:kern w:val="0"/>
          <w:sz w:val="42"/>
          <w:szCs w:val="42"/>
          <w:lang w:val="en-US" w:eastAsia="zh-CN"/>
          <w14:textFill>
            <w14:solidFill>
              <w14:schemeClr w14:val="tx1"/>
            </w14:solidFill>
          </w14:textFill>
        </w:rPr>
        <w:t>6</w:t>
      </w:r>
      <w:r>
        <w:rPr>
          <w:rFonts w:hint="default" w:ascii="Times New Roman" w:hAnsi="Times New Roman" w:eastAsia="方正小标宋简体" w:cs="Times New Roman"/>
          <w:snapToGrid w:val="0"/>
          <w:color w:val="000000" w:themeColor="text1"/>
          <w:kern w:val="0"/>
          <w:sz w:val="42"/>
          <w:szCs w:val="42"/>
          <w14:textFill>
            <w14:solidFill>
              <w14:schemeClr w14:val="tx1"/>
            </w14:solidFill>
          </w14:textFill>
        </w:rPr>
        <w:t>年预算（草案）的报告</w:t>
      </w:r>
    </w:p>
    <w:p w14:paraId="0D7CF0A0">
      <w:pPr>
        <w:spacing w:after="499" w:afterLines="160" w:line="700" w:lineRule="exact"/>
        <w:jc w:val="center"/>
        <w:rPr>
          <w:rFonts w:ascii="Times New Roman" w:hAnsi="Times New Roman" w:eastAsia="楷体_GB2312" w:cs="Times New Roman"/>
          <w:color w:val="000000" w:themeColor="text1"/>
          <w:spacing w:val="6"/>
          <w:sz w:val="30"/>
          <w:szCs w:val="30"/>
          <w14:textFill>
            <w14:solidFill>
              <w14:schemeClr w14:val="tx1"/>
            </w14:solidFill>
          </w14:textFill>
        </w:rPr>
      </w:pPr>
      <w:r>
        <w:rPr>
          <w:rFonts w:ascii="Times New Roman" w:hAnsi="Times New Roman" w:eastAsia="楷体_GB2312" w:cs="Times New Roman"/>
          <w:color w:val="000000" w:themeColor="text1"/>
          <w:spacing w:val="6"/>
          <w:sz w:val="30"/>
          <w:szCs w:val="30"/>
          <w14:textFill>
            <w14:solidFill>
              <w14:schemeClr w14:val="tx1"/>
            </w14:solidFill>
          </w14:textFill>
        </w:rPr>
        <w:t>——202</w:t>
      </w:r>
      <w:r>
        <w:rPr>
          <w:rFonts w:hint="eastAsia" w:ascii="Times New Roman" w:hAnsi="Times New Roman" w:eastAsia="楷体_GB2312" w:cs="Times New Roman"/>
          <w:color w:val="000000" w:themeColor="text1"/>
          <w:spacing w:val="6"/>
          <w:sz w:val="30"/>
          <w:szCs w:val="30"/>
          <w:lang w:val="en-US" w:eastAsia="zh-CN"/>
          <w14:textFill>
            <w14:solidFill>
              <w14:schemeClr w14:val="tx1"/>
            </w14:solidFill>
          </w14:textFill>
        </w:rPr>
        <w:t>5</w:t>
      </w:r>
      <w:r>
        <w:rPr>
          <w:rFonts w:ascii="Times New Roman" w:hAnsi="Times New Roman" w:eastAsia="楷体_GB2312" w:cs="Times New Roman"/>
          <w:color w:val="000000" w:themeColor="text1"/>
          <w:spacing w:val="6"/>
          <w:sz w:val="30"/>
          <w:szCs w:val="30"/>
          <w14:textFill>
            <w14:solidFill>
              <w14:schemeClr w14:val="tx1"/>
            </w14:solidFill>
          </w14:textFill>
        </w:rPr>
        <w:t>年12月</w:t>
      </w:r>
      <w:r>
        <w:rPr>
          <w:rFonts w:hint="eastAsia" w:ascii="Times New Roman" w:hAnsi="Times New Roman" w:eastAsia="楷体_GB2312" w:cs="Times New Roman"/>
          <w:color w:val="000000" w:themeColor="text1"/>
          <w:spacing w:val="6"/>
          <w:sz w:val="30"/>
          <w:szCs w:val="30"/>
          <w:lang w:val="en-US" w:eastAsia="zh-CN"/>
          <w14:textFill>
            <w14:solidFill>
              <w14:schemeClr w14:val="tx1"/>
            </w14:solidFill>
          </w14:textFill>
        </w:rPr>
        <w:t>25</w:t>
      </w:r>
      <w:r>
        <w:rPr>
          <w:rFonts w:ascii="Times New Roman" w:hAnsi="Times New Roman" w:eastAsia="楷体_GB2312" w:cs="Times New Roman"/>
          <w:color w:val="000000" w:themeColor="text1"/>
          <w:spacing w:val="6"/>
          <w:sz w:val="30"/>
          <w:szCs w:val="30"/>
          <w14:textFill>
            <w14:solidFill>
              <w14:schemeClr w14:val="tx1"/>
            </w14:solidFill>
          </w14:textFill>
        </w:rPr>
        <w:t>日在长春市朝阳区第十九届</w:t>
      </w:r>
      <w:r>
        <w:rPr>
          <w:rFonts w:hint="eastAsia" w:ascii="Times New Roman" w:hAnsi="Times New Roman" w:eastAsia="楷体_GB2312" w:cs="Times New Roman"/>
          <w:color w:val="000000" w:themeColor="text1"/>
          <w:spacing w:val="6"/>
          <w:sz w:val="30"/>
          <w:szCs w:val="30"/>
          <w14:textFill>
            <w14:solidFill>
              <w14:schemeClr w14:val="tx1"/>
            </w14:solidFill>
          </w14:textFill>
        </w:rPr>
        <w:t xml:space="preserve">              </w:t>
      </w:r>
      <w:r>
        <w:rPr>
          <w:rFonts w:ascii="Times New Roman" w:hAnsi="Times New Roman" w:eastAsia="楷体_GB2312" w:cs="Times New Roman"/>
          <w:color w:val="000000" w:themeColor="text1"/>
          <w:spacing w:val="6"/>
          <w:sz w:val="30"/>
          <w:szCs w:val="30"/>
          <w14:textFill>
            <w14:solidFill>
              <w14:schemeClr w14:val="tx1"/>
            </w14:solidFill>
          </w14:textFill>
        </w:rPr>
        <w:t>人民代表大会</w:t>
      </w:r>
      <w:r>
        <w:rPr>
          <w:rFonts w:hint="eastAsia" w:ascii="Times New Roman" w:hAnsi="Times New Roman" w:eastAsia="楷体_GB2312" w:cs="Times New Roman"/>
          <w:color w:val="000000" w:themeColor="text1"/>
          <w:spacing w:val="6"/>
          <w:sz w:val="30"/>
          <w:szCs w:val="30"/>
          <w14:textFill>
            <w14:solidFill>
              <w14:schemeClr w14:val="tx1"/>
            </w14:solidFill>
          </w14:textFill>
        </w:rPr>
        <w:t>第</w:t>
      </w:r>
      <w:r>
        <w:rPr>
          <w:rFonts w:hint="eastAsia" w:ascii="Times New Roman" w:hAnsi="Times New Roman" w:eastAsia="楷体_GB2312" w:cs="Times New Roman"/>
          <w:color w:val="000000" w:themeColor="text1"/>
          <w:spacing w:val="6"/>
          <w:sz w:val="30"/>
          <w:szCs w:val="30"/>
          <w:lang w:val="en-US" w:eastAsia="zh-CN"/>
          <w14:textFill>
            <w14:solidFill>
              <w14:schemeClr w14:val="tx1"/>
            </w14:solidFill>
          </w14:textFill>
        </w:rPr>
        <w:t>六</w:t>
      </w:r>
      <w:r>
        <w:rPr>
          <w:rFonts w:hint="eastAsia" w:ascii="Times New Roman" w:hAnsi="Times New Roman" w:eastAsia="楷体_GB2312" w:cs="Times New Roman"/>
          <w:color w:val="000000" w:themeColor="text1"/>
          <w:spacing w:val="6"/>
          <w:sz w:val="30"/>
          <w:szCs w:val="30"/>
          <w14:textFill>
            <w14:solidFill>
              <w14:schemeClr w14:val="tx1"/>
            </w14:solidFill>
          </w14:textFill>
        </w:rPr>
        <w:t>次会议上</w:t>
      </w:r>
    </w:p>
    <w:p w14:paraId="2B881679">
      <w:pPr>
        <w:spacing w:after="499" w:afterLines="160" w:line="740" w:lineRule="exact"/>
        <w:jc w:val="center"/>
        <w:rPr>
          <w:rFonts w:hint="default" w:ascii="楷体" w:hAnsi="楷体" w:eastAsia="楷体" w:cs="楷体"/>
          <w:color w:val="000000" w:themeColor="text1"/>
          <w:spacing w:val="6"/>
          <w:sz w:val="30"/>
          <w:szCs w:val="30"/>
          <w:lang w:val="en-US" w:eastAsia="zh-CN"/>
          <w14:textFill>
            <w14:solidFill>
              <w14:schemeClr w14:val="tx1"/>
            </w14:solidFill>
          </w14:textFill>
        </w:rPr>
      </w:pPr>
      <w:r>
        <w:rPr>
          <w:rFonts w:hint="eastAsia" w:ascii="楷体" w:hAnsi="楷体" w:eastAsia="楷体" w:cs="楷体"/>
          <w:color w:val="000000" w:themeColor="text1"/>
          <w:spacing w:val="6"/>
          <w:sz w:val="30"/>
          <w:szCs w:val="30"/>
          <w14:textFill>
            <w14:solidFill>
              <w14:schemeClr w14:val="tx1"/>
            </w14:solidFill>
          </w14:textFill>
        </w:rPr>
        <w:t>长春市朝阳区</w:t>
      </w:r>
      <w:r>
        <w:rPr>
          <w:rFonts w:hint="eastAsia" w:ascii="楷体" w:hAnsi="楷体" w:eastAsia="楷体" w:cs="楷体"/>
          <w:color w:val="000000" w:themeColor="text1"/>
          <w:spacing w:val="6"/>
          <w:sz w:val="30"/>
          <w:szCs w:val="30"/>
          <w:lang w:val="en-US" w:eastAsia="zh-CN"/>
          <w14:textFill>
            <w14:solidFill>
              <w14:schemeClr w14:val="tx1"/>
            </w14:solidFill>
          </w14:textFill>
        </w:rPr>
        <w:t>财政局</w:t>
      </w:r>
    </w:p>
    <w:p w14:paraId="101575CA">
      <w:pPr>
        <w:keepNext w:val="0"/>
        <w:keepLines w:val="0"/>
        <w:pageBreakBefore w:val="0"/>
        <w:widowControl w:val="0"/>
        <w:kinsoku/>
        <w:wordWrap/>
        <w:overflowPunct/>
        <w:topLinePunct w:val="0"/>
        <w:autoSpaceDE/>
        <w:autoSpaceDN/>
        <w:bidi w:val="0"/>
        <w:adjustRightInd/>
        <w:snapToGrid/>
        <w:spacing w:after="0" w:line="620" w:lineRule="exact"/>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各位代表</w:t>
      </w:r>
      <w:r>
        <w:rPr>
          <w:rFonts w:hint="default" w:ascii="Times New Roman" w:hAnsi="Times New Roman" w:eastAsia="仿宋_GB2312" w:cs="Times New Roman"/>
          <w:color w:val="000000" w:themeColor="text1"/>
          <w:sz w:val="30"/>
          <w:szCs w:val="30"/>
          <w14:textFill>
            <w14:solidFill>
              <w14:schemeClr w14:val="tx1"/>
            </w14:solidFill>
          </w14:textFill>
        </w:rPr>
        <w:t xml:space="preserve">： </w:t>
      </w:r>
    </w:p>
    <w:p w14:paraId="13741BD9">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受区政府委托，现将我区</w:t>
      </w:r>
      <w:r>
        <w:rPr>
          <w:rFonts w:hint="default" w:ascii="Times New Roman" w:hAnsi="Times New Roman" w:eastAsia="仿宋_GB2312" w:cs="Times New Roman"/>
          <w:color w:val="000000" w:themeColor="text1"/>
          <w:sz w:val="30"/>
          <w:szCs w:val="30"/>
          <w14:textFill>
            <w14:solidFill>
              <w14:schemeClr w14:val="tx1"/>
            </w14:solidFill>
          </w14:textFill>
        </w:rPr>
        <w:t>202</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年预算执行情况和202</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年预算草案</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提请区十九届人大</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六</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次会议审议</w:t>
      </w:r>
      <w:r>
        <w:rPr>
          <w:rFonts w:hint="default" w:ascii="Times New Roman" w:hAnsi="Times New Roman" w:eastAsia="仿宋_GB2312" w:cs="Times New Roman"/>
          <w:color w:val="000000" w:themeColor="text1"/>
          <w:sz w:val="30"/>
          <w:szCs w:val="30"/>
          <w14:textFill>
            <w14:solidFill>
              <w14:schemeClr w14:val="tx1"/>
            </w14:solidFill>
          </w14:textFill>
        </w:rPr>
        <w:t>。</w:t>
      </w:r>
    </w:p>
    <w:p w14:paraId="0E53FCAA">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黑体" w:cs="Times New Roman"/>
          <w:color w:val="000000" w:themeColor="text1"/>
          <w:kern w:val="2"/>
          <w:sz w:val="30"/>
          <w:szCs w:val="30"/>
          <w14:textFill>
            <w14:solidFill>
              <w14:schemeClr w14:val="tx1"/>
            </w14:solidFill>
          </w14:textFill>
        </w:rPr>
      </w:pPr>
      <w:r>
        <w:rPr>
          <w:rFonts w:hint="default" w:ascii="Times New Roman" w:hAnsi="Times New Roman" w:eastAsia="黑体" w:cs="Times New Roman"/>
          <w:color w:val="000000" w:themeColor="text1"/>
          <w:kern w:val="2"/>
          <w:sz w:val="30"/>
          <w:szCs w:val="30"/>
          <w14:textFill>
            <w14:solidFill>
              <w14:schemeClr w14:val="tx1"/>
            </w14:solidFill>
          </w14:textFill>
        </w:rPr>
        <w:t>一、</w:t>
      </w:r>
      <w:r>
        <w:rPr>
          <w:rFonts w:hint="default" w:ascii="Times New Roman" w:hAnsi="Times New Roman" w:eastAsia="黑体" w:cs="Times New Roman"/>
          <w:color w:val="000000" w:themeColor="text1"/>
          <w:kern w:val="2"/>
          <w:sz w:val="30"/>
          <w:szCs w:val="30"/>
          <w:lang w:eastAsia="zh-CN"/>
          <w14:textFill>
            <w14:solidFill>
              <w14:schemeClr w14:val="tx1"/>
            </w14:solidFill>
          </w14:textFill>
        </w:rPr>
        <w:t>2025</w:t>
      </w:r>
      <w:r>
        <w:rPr>
          <w:rFonts w:hint="default" w:ascii="Times New Roman" w:hAnsi="Times New Roman" w:eastAsia="黑体" w:cs="Times New Roman"/>
          <w:color w:val="000000" w:themeColor="text1"/>
          <w:kern w:val="2"/>
          <w:sz w:val="30"/>
          <w:szCs w:val="30"/>
          <w14:textFill>
            <w14:solidFill>
              <w14:schemeClr w14:val="tx1"/>
            </w14:solidFill>
          </w14:textFill>
        </w:rPr>
        <w:t>年预算执行情况</w:t>
      </w:r>
    </w:p>
    <w:p w14:paraId="348DBBB0">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2025年是</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十四五</w:t>
      </w:r>
      <w:r>
        <w:rPr>
          <w:rFonts w:hint="eastAsia" w:ascii="Times New Roman" w:hAnsi="Times New Roman" w:eastAsia="仿宋_GB2312" w:cs="Times New Roman"/>
          <w:color w:val="000000" w:themeColor="text1"/>
          <w:kern w:val="2"/>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规划收官之年，也</w:t>
      </w:r>
      <w:r>
        <w:rPr>
          <w:rFonts w:hint="default" w:ascii="Times New Roman" w:hAnsi="Times New Roman" w:eastAsia="仿宋_GB2312" w:cs="Times New Roman"/>
          <w:color w:val="000000" w:themeColor="text1"/>
          <w:kern w:val="2"/>
          <w:sz w:val="30"/>
          <w:szCs w:val="30"/>
          <w:lang w:val="en-US" w:eastAsia="zh-CN"/>
          <w14:textFill>
            <w14:solidFill>
              <w14:schemeClr w14:val="tx1"/>
            </w14:solidFill>
          </w14:textFill>
        </w:rPr>
        <w:t>是朝阳区</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在困难挑战中奋力前行的一年。面对复杂严峻的发展形势，在区委、区政府的坚强领导下，全</w:t>
      </w:r>
      <w:r>
        <w:rPr>
          <w:rFonts w:hint="default" w:ascii="Times New Roman" w:hAnsi="Times New Roman" w:eastAsia="仿宋_GB2312" w:cs="Times New Roman"/>
          <w:color w:val="000000" w:themeColor="text1"/>
          <w:kern w:val="2"/>
          <w:sz w:val="30"/>
          <w:szCs w:val="30"/>
          <w:lang w:val="en-US" w:eastAsia="zh-CN"/>
          <w14:textFill>
            <w14:solidFill>
              <w14:schemeClr w14:val="tx1"/>
            </w14:solidFill>
          </w14:textFill>
        </w:rPr>
        <w:t>区</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上下坚持稳中求进工作总基调，</w:t>
      </w:r>
      <w:r>
        <w:rPr>
          <w:rFonts w:hint="default" w:ascii="Times New Roman" w:hAnsi="Times New Roman" w:eastAsia="仿宋_GB2312" w:cs="Times New Roman"/>
          <w:color w:val="000000" w:themeColor="text1"/>
          <w:sz w:val="30"/>
          <w:szCs w:val="30"/>
          <w14:textFill>
            <w14:solidFill>
              <w14:schemeClr w14:val="tx1"/>
            </w14:solidFill>
          </w14:textFill>
        </w:rPr>
        <w:t>坚持</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实事求是，科学合理测算收入</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，加强资金资产资源统筹，强化民生和重点领域财力保障，努力防范化解重大风险，全面深化财政管理改革，</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集中财力办好大事要事，</w:t>
      </w:r>
      <w:r>
        <w:rPr>
          <w:rFonts w:hint="default" w:ascii="Times New Roman" w:hAnsi="Times New Roman" w:eastAsia="仿宋_GB2312" w:cs="Times New Roman"/>
          <w:color w:val="000000" w:themeColor="text1"/>
          <w:kern w:val="2"/>
          <w:sz w:val="30"/>
          <w:szCs w:val="30"/>
          <w:lang w:eastAsia="zh-CN"/>
          <w14:textFill>
            <w14:solidFill>
              <w14:schemeClr w14:val="tx1"/>
            </w14:solidFill>
          </w14:textFill>
        </w:rPr>
        <w:t>在经济形势和税收形势依然严峻的大环境下，财政运行保持了基本平稳，财政收支实现了基本平衡。</w:t>
      </w:r>
    </w:p>
    <w:p w14:paraId="0960A109">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楷体_GB2312" w:cs="Times New Roman"/>
          <w:b/>
          <w:color w:val="000000" w:themeColor="text1"/>
          <w:sz w:val="30"/>
          <w:szCs w:val="30"/>
          <w:highlight w:val="none"/>
          <w14:textFill>
            <w14:solidFill>
              <w14:schemeClr w14:val="tx1"/>
            </w14:solidFill>
          </w14:textFill>
        </w:rPr>
      </w:pPr>
      <w:r>
        <w:rPr>
          <w:rFonts w:hint="default" w:ascii="Times New Roman" w:hAnsi="Times New Roman" w:eastAsia="楷体_GB2312" w:cs="Times New Roman"/>
          <w:b/>
          <w:color w:val="000000" w:themeColor="text1"/>
          <w:sz w:val="30"/>
          <w:szCs w:val="30"/>
          <w:highlight w:val="none"/>
          <w14:textFill>
            <w14:solidFill>
              <w14:schemeClr w14:val="tx1"/>
            </w14:solidFill>
          </w14:textFill>
        </w:rPr>
        <w:t>（一）</w:t>
      </w:r>
      <w:r>
        <w:rPr>
          <w:rFonts w:hint="default" w:ascii="Times New Roman" w:hAnsi="Times New Roman" w:eastAsia="楷体_GB2312" w:cs="Times New Roman"/>
          <w:b/>
          <w:color w:val="000000" w:themeColor="text1"/>
          <w:sz w:val="30"/>
          <w:szCs w:val="30"/>
          <w:highlight w:val="none"/>
          <w:lang w:eastAsia="zh-CN"/>
          <w14:textFill>
            <w14:solidFill>
              <w14:schemeClr w14:val="tx1"/>
            </w14:solidFill>
          </w14:textFill>
        </w:rPr>
        <w:t>2025</w:t>
      </w:r>
      <w:r>
        <w:rPr>
          <w:rFonts w:hint="default" w:ascii="Times New Roman" w:hAnsi="Times New Roman" w:eastAsia="楷体_GB2312" w:cs="Times New Roman"/>
          <w:b/>
          <w:color w:val="000000" w:themeColor="text1"/>
          <w:sz w:val="30"/>
          <w:szCs w:val="30"/>
          <w:highlight w:val="none"/>
          <w14:textFill>
            <w14:solidFill>
              <w14:schemeClr w14:val="tx1"/>
            </w14:solidFill>
          </w14:textFill>
        </w:rPr>
        <w:t>年一般公共预算收支情况</w:t>
      </w:r>
    </w:p>
    <w:p w14:paraId="05D2F43A">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kern w:val="2"/>
          <w:sz w:val="30"/>
          <w:szCs w:val="30"/>
          <w:highlight w:val="none"/>
          <w:lang w:eastAsia="zh-CN"/>
          <w14:textFill>
            <w14:solidFill>
              <w14:schemeClr w14:val="tx1"/>
            </w14:solidFill>
          </w14:textFill>
        </w:rPr>
        <w:t>2025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年，全区一般公共预算收入预计完成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剔除一次性因素和政策性调整因素影响，按可比口径增长6%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，加上</w:t>
      </w:r>
      <w:r>
        <w:rPr>
          <w:rFonts w:hint="default" w:ascii="Times New Roman" w:hAnsi="Times New Roman" w:eastAsia="仿宋_GB2312" w:cs="Times New Roman"/>
          <w:color w:val="000000" w:themeColor="text1"/>
          <w:kern w:val="2"/>
          <w:sz w:val="30"/>
          <w:szCs w:val="30"/>
          <w:highlight w:val="none"/>
          <w14:textFill>
            <w14:solidFill>
              <w14:schemeClr w14:val="tx1"/>
            </w14:solidFill>
          </w14:textFill>
        </w:rPr>
        <w:t>上级</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补助收入</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177</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214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万元，上年结余收入1</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733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万元，调入资金</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,7</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万元，调入预算稳定调节基金</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274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万元，总收入预计完成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303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433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万元；全区一般公共预算支出预计完成25</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,000万元，加上上解支出</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27,523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万元，补充预算稳定调节基金</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910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万元，结转下年支出</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,000万元，总支出预计完成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303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433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p>
    <w:p w14:paraId="4327EF86">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b/>
          <w:bCs/>
          <w:color w:val="000000" w:themeColor="text1"/>
          <w:sz w:val="30"/>
          <w:szCs w:val="30"/>
          <w:highlight w:val="none"/>
          <w14:textFill>
            <w14:solidFill>
              <w14:schemeClr w14:val="tx1"/>
            </w14:solidFill>
          </w14:textFill>
        </w:rPr>
        <w:t>一般公共预算主要收入项目具体情况是：税收收入</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计划完成81,</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万元，其中：增值税收入计划完成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24,195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%；企业所得税收入计划完成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10,500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0.2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，增长的主要原因是上年同期省税务局审计整改，退付企业所得税约</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2,000万元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；个人所得税收入计划完成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15,500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万元，同比增长7.</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%；房产税收入计划完成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13,210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10.5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，主要原因是上年同期长春润德商业运营管理有限公司补缴</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2006—2024年房产税3,214万元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；车船税计划完成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8,170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24.5%，增长的主要原因是新引进纳税企业中国平安财产保险股份有限公司朝阳支公司</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；耕地占用税收入计划完成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2,800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契税收入计划完成6,</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7</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%，主要原因是土地、房地产市场低迷，交易量下降；其他税收收入计划完成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r>
        <w:rPr>
          <w:rFonts w:hint="default" w:ascii="Times New Roman" w:hAnsi="Times New Roman" w:eastAsia="仿宋_GB2312" w:cs="Times New Roman"/>
          <w:b/>
          <w:bCs/>
          <w:color w:val="000000" w:themeColor="text1"/>
          <w:sz w:val="30"/>
          <w:szCs w:val="30"/>
          <w:highlight w:val="none"/>
          <w14:textFill>
            <w14:solidFill>
              <w14:schemeClr w14:val="tx1"/>
            </w14:solidFill>
          </w14:textFill>
        </w:rPr>
        <w:t>非税收入</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19,200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万元，其中：专项收入计划完成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6,600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%；行政事业性收费收入计划完成750万元，同比下降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13.8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%；罚没收入计划完成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3,580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192.2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，主要原因是</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6月份新增纪委一次性罚没收入2,116万元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；国有资源（资产）有偿使用收入计划完成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政府住房基金收入计划完成1</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7</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0万元，同比下降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35.1</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p>
    <w:p w14:paraId="33D77644">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仿宋_GB2312" w:cs="Times New Roman"/>
          <w:b/>
          <w:color w:val="000000" w:themeColor="text1"/>
          <w:sz w:val="30"/>
          <w:szCs w:val="30"/>
          <w:highlight w:val="none"/>
          <w14:textFill>
            <w14:solidFill>
              <w14:schemeClr w14:val="tx1"/>
            </w14:solidFill>
          </w14:textFill>
        </w:rPr>
      </w:pPr>
      <w:r>
        <w:rPr>
          <w:rFonts w:hint="default" w:ascii="Times New Roman" w:hAnsi="Times New Roman" w:eastAsia="仿宋_GB2312" w:cs="Times New Roman"/>
          <w:b/>
          <w:bCs/>
          <w:color w:val="000000" w:themeColor="text1"/>
          <w:sz w:val="30"/>
          <w:szCs w:val="30"/>
          <w:highlight w:val="none"/>
          <w14:textFill>
            <w14:solidFill>
              <w14:schemeClr w14:val="tx1"/>
            </w14:solidFill>
          </w14:textFill>
        </w:rPr>
        <w:t>一般公共预算本级主要支出项目具体情况是：</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一般公共服务支出预计完成5</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773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万元，同比下降3%；国防支出预计完成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%；公共安全支出预计完成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826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%；教育支出计划完成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71,113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%；科学技术支出预计完成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20,503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较上年大幅度增长，主要原因是拨付长春中医药大学国家医学中心筹建项目</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20,000万元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；文化旅游体育与传媒支出预计完成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1,280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%；社会保障和就业支出预计完成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41</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694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8%</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，主要原因是扣缴机关保</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9,181万元</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；卫生健康支出预计完成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19,964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%；节能环保支出预计完成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84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%；城乡社区支出预计完成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25,925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18</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%；农林水支出预计完成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2,915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，主要原因是上年同期拨付</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2023年农村</w:t>
      </w:r>
      <w:r>
        <w:rPr>
          <w:rFonts w:hint="eastAsia" w:ascii="Times New Roman" w:hAnsi="Times New Roman" w:eastAsia="仿宋_GB2312" w:cs="Times New Roman"/>
          <w:color w:val="000000" w:themeColor="text1"/>
          <w:sz w:val="30"/>
          <w:szCs w:val="30"/>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老旧路</w:t>
      </w:r>
      <w:r>
        <w:rPr>
          <w:rFonts w:hint="eastAsia" w:ascii="Times New Roman" w:hAnsi="Times New Roman" w:eastAsia="仿宋_GB2312" w:cs="Times New Roman"/>
          <w:color w:val="000000" w:themeColor="text1"/>
          <w:sz w:val="30"/>
          <w:szCs w:val="30"/>
          <w:highlight w:val="none"/>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改造工程服务费</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；交通运输支出预计完成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%；资源勘探信息等支出预计完成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449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%；商业服务业等支出预计完成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162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%；住房保障支出预计完成8,926万元，同比下降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%；灾害防治及应急管理支出预计完成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2,933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%；其他支出计划完成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12</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万元，同比下降</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76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%；债务付息支出计划完成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5,241</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万元，同比增长</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%；债务发行费用支出计划完成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p>
    <w:p w14:paraId="3B593F68">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楷体_GB2312" w:cs="Times New Roman"/>
          <w:b/>
          <w:color w:val="000000" w:themeColor="text1"/>
          <w:sz w:val="30"/>
          <w:szCs w:val="30"/>
          <w:highlight w:val="none"/>
          <w14:textFill>
            <w14:solidFill>
              <w14:schemeClr w14:val="tx1"/>
            </w14:solidFill>
          </w14:textFill>
        </w:rPr>
      </w:pPr>
      <w:r>
        <w:rPr>
          <w:rFonts w:hint="default" w:ascii="Times New Roman" w:hAnsi="Times New Roman" w:eastAsia="楷体_GB2312" w:cs="Times New Roman"/>
          <w:b/>
          <w:color w:val="000000" w:themeColor="text1"/>
          <w:sz w:val="30"/>
          <w:szCs w:val="30"/>
          <w:highlight w:val="none"/>
          <w14:textFill>
            <w14:solidFill>
              <w14:schemeClr w14:val="tx1"/>
            </w14:solidFill>
          </w14:textFill>
        </w:rPr>
        <w:t>（二）</w:t>
      </w:r>
      <w:r>
        <w:rPr>
          <w:rFonts w:hint="default" w:ascii="Times New Roman" w:hAnsi="Times New Roman" w:eastAsia="楷体_GB2312" w:cs="Times New Roman"/>
          <w:b/>
          <w:color w:val="000000" w:themeColor="text1"/>
          <w:sz w:val="30"/>
          <w:szCs w:val="30"/>
          <w:highlight w:val="none"/>
          <w:lang w:eastAsia="zh-CN"/>
          <w14:textFill>
            <w14:solidFill>
              <w14:schemeClr w14:val="tx1"/>
            </w14:solidFill>
          </w14:textFill>
        </w:rPr>
        <w:t>2025</w:t>
      </w:r>
      <w:r>
        <w:rPr>
          <w:rFonts w:hint="default" w:ascii="Times New Roman" w:hAnsi="Times New Roman" w:eastAsia="楷体_GB2312" w:cs="Times New Roman"/>
          <w:b/>
          <w:color w:val="000000" w:themeColor="text1"/>
          <w:sz w:val="30"/>
          <w:szCs w:val="30"/>
          <w:highlight w:val="none"/>
          <w14:textFill>
            <w14:solidFill>
              <w14:schemeClr w14:val="tx1"/>
            </w14:solidFill>
          </w14:textFill>
        </w:rPr>
        <w:t>年政府性基金预算收支情况</w:t>
      </w:r>
    </w:p>
    <w:p w14:paraId="2ED35307">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2025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年，政府性基金预算收入计划完成3,</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619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万元，加上上级补助收入</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11,237</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万元，上年结余收入</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2,660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万元，地方政府专项债券转贷收入</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21</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00万元，收入总计</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416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万元；政府性基金预算支出计划完成</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29</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万元，加上上解支出</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万元，调出资金</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910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万元，年终结余</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9,006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万元，支出总计</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39,416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p>
    <w:p w14:paraId="4A09658C">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楷体_GB2312" w:cs="Times New Roman"/>
          <w:b/>
          <w:color w:val="000000" w:themeColor="text1"/>
          <w:sz w:val="30"/>
          <w:szCs w:val="30"/>
          <w:highlight w:val="none"/>
          <w14:textFill>
            <w14:solidFill>
              <w14:schemeClr w14:val="tx1"/>
            </w14:solidFill>
          </w14:textFill>
        </w:rPr>
      </w:pPr>
      <w:r>
        <w:rPr>
          <w:rFonts w:hint="default" w:ascii="Times New Roman" w:hAnsi="Times New Roman" w:eastAsia="楷体_GB2312" w:cs="Times New Roman"/>
          <w:b/>
          <w:color w:val="000000" w:themeColor="text1"/>
          <w:sz w:val="30"/>
          <w:szCs w:val="30"/>
          <w:highlight w:val="none"/>
          <w14:textFill>
            <w14:solidFill>
              <w14:schemeClr w14:val="tx1"/>
            </w14:solidFill>
          </w14:textFill>
        </w:rPr>
        <w:t>（三）地方政府债务情况</w:t>
      </w:r>
    </w:p>
    <w:p w14:paraId="712B48B5">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eastAsia" w:ascii="Times New Roman" w:hAnsi="Times New Roman" w:eastAsia="仿宋_GB2312" w:cs="Times New Roman"/>
          <w:color w:val="000000" w:themeColor="text1"/>
          <w:sz w:val="30"/>
          <w:szCs w:val="30"/>
          <w:highlight w:val="none"/>
          <w:lang w:eastAsia="zh-CN"/>
          <w14:textFill>
            <w14:solidFill>
              <w14:schemeClr w14:val="tx1"/>
            </w14:solidFill>
          </w14:textFill>
        </w:rPr>
      </w:pP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2025</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年，我区新增地方政府债券</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21,900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万元，其中：新增地方政府专项债券</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21</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万元，主要用于朝阳经济开发区汽车零部件创新产业园区基础设施</w:t>
      </w:r>
      <w:r>
        <w:rPr>
          <w:rFonts w:hint="default" w:ascii="Times New Roman" w:hAnsi="Times New Roman" w:eastAsia="仿宋_GB2312" w:cs="Times New Roman"/>
          <w:color w:val="000000" w:themeColor="text1"/>
          <w:sz w:val="30"/>
          <w:szCs w:val="30"/>
          <w:highlight w:val="none"/>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解决地方政府拖欠企业账款等</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项目。地方政府债务余额预计为</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254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553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万元，其中：一般债务</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164</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353</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万元（存量一般债务3,837万元，一般债券</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160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516</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万元），专项债务</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万元（专项债券</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90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w:t>
      </w:r>
      <w:r>
        <w:rPr>
          <w:rFonts w:hint="default" w:ascii="Times New Roman" w:hAnsi="Times New Roman" w:eastAsia="仿宋_GB2312" w:cs="Times New Roman"/>
          <w:color w:val="000000" w:themeColor="text1"/>
          <w:sz w:val="30"/>
          <w:szCs w:val="30"/>
          <w:highlight w:val="none"/>
          <w:lang w:val="en-US" w:eastAsia="zh-CN"/>
          <w14:textFill>
            <w14:solidFill>
              <w14:schemeClr w14:val="tx1"/>
            </w14:solidFill>
          </w14:textFill>
        </w:rPr>
        <w:t>200</w:t>
      </w:r>
      <w:r>
        <w:rPr>
          <w:rFonts w:hint="default" w:ascii="Times New Roman" w:hAnsi="Times New Roman" w:eastAsia="仿宋_GB2312" w:cs="Times New Roman"/>
          <w:color w:val="000000" w:themeColor="text1"/>
          <w:sz w:val="30"/>
          <w:szCs w:val="30"/>
          <w:highlight w:val="none"/>
          <w14:textFill>
            <w14:solidFill>
              <w14:schemeClr w14:val="tx1"/>
            </w14:solidFill>
          </w14:textFill>
        </w:rPr>
        <w:t>万元）</w:t>
      </w:r>
      <w:r>
        <w:rPr>
          <w:rFonts w:hint="eastAsia" w:ascii="Times New Roman" w:hAnsi="Times New Roman" w:eastAsia="仿宋_GB2312" w:cs="Times New Roman"/>
          <w:color w:val="000000" w:themeColor="text1"/>
          <w:sz w:val="30"/>
          <w:szCs w:val="30"/>
          <w:highlight w:val="none"/>
          <w:lang w:eastAsia="zh-CN"/>
          <w14:textFill>
            <w14:solidFill>
              <w14:schemeClr w14:val="tx1"/>
            </w14:solidFill>
          </w14:textFill>
        </w:rPr>
        <w:t>。</w:t>
      </w:r>
    </w:p>
    <w:p w14:paraId="4C2CCF27">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sz w:val="30"/>
          <w:szCs w:val="30"/>
          <w14:textFill>
            <w14:solidFill>
              <w14:schemeClr w14:val="tx1"/>
            </w14:solidFill>
          </w14:textFill>
        </w:rPr>
        <w:t>（四）</w:t>
      </w:r>
      <w:r>
        <w:rPr>
          <w:rFonts w:hint="default" w:ascii="Times New Roman" w:hAnsi="Times New Roman" w:eastAsia="楷体_GB2312" w:cs="Times New Roman"/>
          <w:b/>
          <w:color w:val="000000" w:themeColor="text1"/>
          <w:sz w:val="30"/>
          <w:szCs w:val="30"/>
          <w:lang w:eastAsia="zh-CN"/>
          <w14:textFill>
            <w14:solidFill>
              <w14:schemeClr w14:val="tx1"/>
            </w14:solidFill>
          </w14:textFill>
        </w:rPr>
        <w:t>2025</w:t>
      </w:r>
      <w:r>
        <w:rPr>
          <w:rFonts w:hint="default" w:ascii="Times New Roman" w:hAnsi="Times New Roman" w:eastAsia="楷体_GB2312" w:cs="Times New Roman"/>
          <w:b/>
          <w:color w:val="000000" w:themeColor="text1"/>
          <w:sz w:val="30"/>
          <w:szCs w:val="30"/>
          <w14:textFill>
            <w14:solidFill>
              <w14:schemeClr w14:val="tx1"/>
            </w14:solidFill>
          </w14:textFill>
        </w:rPr>
        <w:t>年主要财政政策落实和重点财政工作情况</w:t>
      </w:r>
    </w:p>
    <w:p w14:paraId="1DB3A79B">
      <w:pPr>
        <w:keepNext w:val="0"/>
        <w:keepLines w:val="0"/>
        <w:pageBreakBefore w:val="0"/>
        <w:widowControl w:val="0"/>
        <w:kinsoku/>
        <w:wordWrap/>
        <w:overflowPunct/>
        <w:topLinePunct w:val="0"/>
        <w:autoSpaceDE/>
        <w:autoSpaceDN/>
        <w:bidi w:val="0"/>
        <w:adjustRightInd/>
        <w:snapToGrid/>
        <w:spacing w:after="0" w:line="620" w:lineRule="exact"/>
        <w:ind w:firstLine="600" w:firstLineChars="20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lang w:eastAsia="zh-CN"/>
          <w14:textFill>
            <w14:solidFill>
              <w14:schemeClr w14:val="tx1"/>
            </w14:solidFill>
          </w14:textFill>
        </w:rPr>
        <w:t>2025</w:t>
      </w:r>
      <w:r>
        <w:rPr>
          <w:rFonts w:hint="default" w:ascii="Times New Roman" w:hAnsi="Times New Roman" w:eastAsia="仿宋_GB2312" w:cs="Times New Roman"/>
          <w:color w:val="000000" w:themeColor="text1"/>
          <w:sz w:val="30"/>
          <w:szCs w:val="30"/>
          <w14:textFill>
            <w14:solidFill>
              <w14:schemeClr w14:val="tx1"/>
            </w14:solidFill>
          </w14:textFill>
        </w:rPr>
        <w:t>年，区财政部门以《中华人民共和国预算法》及其实施条例为准绳，严格执行《关于人大预算审查监督重点向支出预算和政策拓展的指导意见》，认真落实区人大预算决议和审议意见要求，坚定不移地贯彻落实区委、区政府的各项决策部署，坚持以保促稳、稳中求进，精准落实发展战略，为全区发展筑牢保障。</w:t>
      </w:r>
    </w:p>
    <w:p w14:paraId="6861F609">
      <w:pPr>
        <w:keepNext w:val="0"/>
        <w:keepLines w:val="0"/>
        <w:pageBreakBefore w:val="0"/>
        <w:widowControl w:val="0"/>
        <w:numPr>
          <w:ilvl w:val="0"/>
          <w:numId w:val="0"/>
        </w:numPr>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cs="Times New Roman"/>
          <w:color w:val="000000" w:themeColor="text1"/>
          <w:sz w:val="30"/>
          <w:szCs w:val="30"/>
          <w14:textFill>
            <w14:solidFill>
              <w14:schemeClr w14:val="tx1"/>
            </w14:solidFill>
          </w14:textFill>
        </w:rPr>
      </w:pPr>
      <w:r>
        <w:rPr>
          <w:rFonts w:hint="default" w:ascii="Times New Roman" w:hAnsi="Times New Roman" w:eastAsia="仿宋_GB2312" w:cs="Times New Roman"/>
          <w:b/>
          <w:bCs/>
          <w:color w:val="000000" w:themeColor="text1"/>
          <w:sz w:val="30"/>
          <w:szCs w:val="30"/>
          <w:shd w:val="clear" w:color="auto" w:fill="FFFFFF"/>
          <w:lang w:val="en-US" w:eastAsia="zh-CN"/>
          <w14:textFill>
            <w14:solidFill>
              <w14:schemeClr w14:val="tx1"/>
            </w14:solidFill>
          </w14:textFill>
        </w:rPr>
        <w:t>1.</w:t>
      </w:r>
      <w:r>
        <w:rPr>
          <w:rFonts w:hint="default" w:ascii="Times New Roman" w:hAnsi="Times New Roman" w:eastAsia="仿宋_GB2312" w:cs="Times New Roman"/>
          <w:b/>
          <w:bCs/>
          <w:color w:val="000000" w:themeColor="text1"/>
          <w:sz w:val="30"/>
          <w:szCs w:val="30"/>
          <w:shd w:val="clear" w:color="auto" w:fill="FFFFFF"/>
          <w14:textFill>
            <w14:solidFill>
              <w14:schemeClr w14:val="tx1"/>
            </w14:solidFill>
          </w14:textFill>
        </w:rPr>
        <w:t>聚焦财源提质增效，抓实收入征管。</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建立健全经济形势与财政收支联动研判机制，联合税务部门、行业主管单位构建起</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政府主导、财政牵头、税务主责、部门协同</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的征管体系，通过对重点行业、重点税源实施</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周分析、月研判、季盘点</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的动态监控，精准把握收入走势；紧盯全年财政收入预算目标，锚定税收收入主体地位，结合前三季度</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我区</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一般公共预算收入同比增长</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13.7%</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的整体态势，着力构建稳定可持续的收入增长体系。深化财税协同共治机制，强化税源挖潜与征管攻坚。聚焦欠税清理，建立</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控新欠、清陈欠</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双重机制，有效盘活沉淀税源。</w:t>
      </w:r>
    </w:p>
    <w:p w14:paraId="281EAAF5">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仿宋_GB2312" w:cs="Times New Roman"/>
          <w:b w:val="0"/>
          <w:bCs w:val="0"/>
          <w:color w:val="000000" w:themeColor="text1"/>
          <w:sz w:val="30"/>
          <w:szCs w:val="30"/>
          <w14:textFill>
            <w14:solidFill>
              <w14:schemeClr w14:val="tx1"/>
            </w14:solidFill>
          </w14:textFill>
        </w:rPr>
      </w:pP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2.聚焦</w:t>
      </w:r>
      <w:r>
        <w:rPr>
          <w:rFonts w:hint="default" w:ascii="Times New Roman" w:hAnsi="Times New Roman" w:eastAsia="仿宋_GB2312" w:cs="Times New Roman"/>
          <w:b/>
          <w:bCs/>
          <w:color w:val="000000" w:themeColor="text1"/>
          <w:sz w:val="30"/>
          <w:szCs w:val="30"/>
          <w14:textFill>
            <w14:solidFill>
              <w14:schemeClr w14:val="tx1"/>
            </w14:solidFill>
          </w14:textFill>
        </w:rPr>
        <w:t>支出精准提效，筑牢</w:t>
      </w:r>
      <w:r>
        <w:rPr>
          <w:rFonts w:hint="eastAsia" w:ascii="Times New Roman" w:hAnsi="Times New Roman" w:eastAsia="仿宋_GB2312" w:cs="Times New Roman"/>
          <w:b/>
          <w:bCs/>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三保</w:t>
      </w:r>
      <w:r>
        <w:rPr>
          <w:rFonts w:hint="eastAsia" w:ascii="Times New Roman" w:hAnsi="Times New Roman" w:eastAsia="仿宋_GB2312" w:cs="Times New Roman"/>
          <w:b/>
          <w:bCs/>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14:textFill>
            <w14:solidFill>
              <w14:schemeClr w14:val="tx1"/>
            </w14:solidFill>
          </w14:textFill>
        </w:rPr>
        <w:t>保障底线。</w:t>
      </w:r>
      <w:r>
        <w:rPr>
          <w:rFonts w:hint="default" w:ascii="Times New Roman" w:hAnsi="Times New Roman" w:eastAsia="仿宋_GB2312" w:cs="Times New Roman"/>
          <w:b w:val="0"/>
          <w:bCs w:val="0"/>
          <w:color w:val="000000" w:themeColor="text1"/>
          <w:sz w:val="30"/>
          <w:szCs w:val="30"/>
          <w:lang w:val="en-US" w:eastAsia="zh-CN"/>
          <w14:textFill>
            <w14:solidFill>
              <w14:schemeClr w14:val="tx1"/>
            </w14:solidFill>
          </w14:textFill>
        </w:rPr>
        <w:t>聚焦</w:t>
      </w:r>
      <w:r>
        <w:rPr>
          <w:rFonts w:hint="eastAsia" w:ascii="Times New Roman" w:hAnsi="Times New Roman" w:eastAsia="仿宋_GB2312" w:cs="Times New Roman"/>
          <w:b w:val="0"/>
          <w:bCs w:val="0"/>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三保</w:t>
      </w:r>
      <w:r>
        <w:rPr>
          <w:rFonts w:hint="eastAsia" w:ascii="Times New Roman" w:hAnsi="Times New Roman" w:eastAsia="仿宋_GB2312" w:cs="Times New Roman"/>
          <w:b w:val="0"/>
          <w:bCs w:val="0"/>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支出优先导向，结合全年财政支出预算安排及刚性需求增长态势，</w:t>
      </w:r>
      <w:r>
        <w:rPr>
          <w:rFonts w:hint="default" w:ascii="Times New Roman" w:hAnsi="Times New Roman" w:eastAsia="仿宋_GB2312" w:cs="Times New Roman"/>
          <w:color w:val="000000" w:themeColor="text1"/>
          <w:sz w:val="30"/>
          <w:szCs w:val="30"/>
          <w14:textFill>
            <w14:solidFill>
              <w14:schemeClr w14:val="tx1"/>
            </w14:solidFill>
          </w14:textFill>
        </w:rPr>
        <w:t>持续守住保障底线。针对教育、卫生、社会保障等民生领域法定增长需求，优先保障民生支出足额到位，</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2025</w:t>
      </w:r>
      <w:r>
        <w:rPr>
          <w:rFonts w:hint="default" w:ascii="Times New Roman" w:hAnsi="Times New Roman" w:eastAsia="仿宋_GB2312" w:cs="Times New Roman"/>
          <w:color w:val="000000" w:themeColor="text1"/>
          <w:sz w:val="30"/>
          <w:szCs w:val="30"/>
          <w14:textFill>
            <w14:solidFill>
              <w14:schemeClr w14:val="tx1"/>
            </w14:solidFill>
          </w14:textFill>
        </w:rPr>
        <w:t>年，全区</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三保</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支出预计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17.6</w:t>
      </w:r>
      <w:r>
        <w:rPr>
          <w:rFonts w:hint="default" w:ascii="Times New Roman" w:hAnsi="Times New Roman" w:eastAsia="仿宋_GB2312" w:cs="Times New Roman"/>
          <w:color w:val="000000" w:themeColor="text1"/>
          <w:sz w:val="30"/>
          <w:szCs w:val="30"/>
          <w14:textFill>
            <w14:solidFill>
              <w14:schemeClr w14:val="tx1"/>
            </w14:solidFill>
          </w14:textFill>
        </w:rPr>
        <w:t>亿元，其中：保</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工资</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12</w:t>
      </w:r>
      <w:r>
        <w:rPr>
          <w:rFonts w:hint="default" w:ascii="Times New Roman" w:hAnsi="Times New Roman" w:eastAsia="仿宋_GB2312" w:cs="Times New Roman"/>
          <w:color w:val="000000" w:themeColor="text1"/>
          <w:sz w:val="30"/>
          <w:szCs w:val="30"/>
          <w14:textFill>
            <w14:solidFill>
              <w14:schemeClr w14:val="tx1"/>
            </w14:solidFill>
          </w14:textFill>
        </w:rPr>
        <w:t>亿元，保</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运转</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0.6</w:t>
      </w:r>
      <w:r>
        <w:rPr>
          <w:rFonts w:hint="default" w:ascii="Times New Roman" w:hAnsi="Times New Roman" w:eastAsia="仿宋_GB2312" w:cs="Times New Roman"/>
          <w:color w:val="000000" w:themeColor="text1"/>
          <w:sz w:val="30"/>
          <w:szCs w:val="30"/>
          <w14:textFill>
            <w14:solidFill>
              <w14:schemeClr w14:val="tx1"/>
            </w14:solidFill>
          </w14:textFill>
        </w:rPr>
        <w:t>亿元，保</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基本</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民生5</w:t>
      </w:r>
      <w:r>
        <w:rPr>
          <w:rFonts w:hint="default" w:ascii="Times New Roman" w:hAnsi="Times New Roman" w:eastAsia="仿宋_GB2312" w:cs="Times New Roman"/>
          <w:color w:val="000000" w:themeColor="text1"/>
          <w:sz w:val="30"/>
          <w:szCs w:val="30"/>
          <w14:textFill>
            <w14:solidFill>
              <w14:schemeClr w14:val="tx1"/>
            </w14:solidFill>
          </w14:textFill>
        </w:rPr>
        <w:t>亿元。</w:t>
      </w:r>
    </w:p>
    <w:p w14:paraId="3D0A1441">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pPr>
      <w:r>
        <w:rPr>
          <w:rFonts w:hint="default" w:ascii="Times New Roman" w:hAnsi="Times New Roman" w:eastAsia="仿宋_GB2312" w:cs="Times New Roman"/>
          <w:b/>
          <w:bCs/>
          <w:color w:val="000000" w:themeColor="text1"/>
          <w:sz w:val="30"/>
          <w:szCs w:val="30"/>
          <w:shd w:val="clear" w:color="auto" w:fill="FFFFFF"/>
          <w:lang w:val="en-US" w:eastAsia="zh-CN"/>
          <w14:textFill>
            <w14:solidFill>
              <w14:schemeClr w14:val="tx1"/>
            </w14:solidFill>
          </w14:textFill>
        </w:rPr>
        <w:t>3.聚焦重点领域争取债券资金，统筹推进拖欠账款清偿落实。</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2025年，区财政局围绕重点领域精准谋划债券项目包装，规范推进新增地方政府债券申报</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，新增地方政府专项债券21,900万元，</w:t>
      </w:r>
      <w:r>
        <w:rPr>
          <w:rFonts w:hint="default" w:ascii="Times New Roman" w:hAnsi="Times New Roman" w:eastAsia="仿宋_GB2312" w:cs="Times New Roman"/>
          <w:b w:val="0"/>
          <w:bCs w:val="0"/>
          <w:color w:val="000000" w:themeColor="text1"/>
          <w:sz w:val="30"/>
          <w:szCs w:val="30"/>
          <w:lang w:eastAsia="zh-CN"/>
          <w14:textFill>
            <w14:solidFill>
              <w14:schemeClr w14:val="tx1"/>
            </w14:solidFill>
          </w14:textFill>
        </w:rPr>
        <w:t>重点支持</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朝阳经济开发区汽车零部件创新产业园区基础设施</w:t>
      </w:r>
      <w:r>
        <w:rPr>
          <w:rFonts w:hint="default" w:ascii="Times New Roman" w:hAnsi="Times New Roman" w:eastAsia="仿宋_GB2312" w:cs="Times New Roman"/>
          <w:b w:val="0"/>
          <w:bCs w:val="0"/>
          <w:color w:val="000000" w:themeColor="text1"/>
          <w:sz w:val="30"/>
          <w:szCs w:val="30"/>
          <w:lang w:eastAsia="zh-CN"/>
          <w14:textFill>
            <w14:solidFill>
              <w14:schemeClr w14:val="tx1"/>
            </w14:solidFill>
          </w14:textFill>
        </w:rPr>
        <w:t>项目建设及保障</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地方政府拖欠企业账款</w:t>
      </w:r>
      <w:r>
        <w:rPr>
          <w:rFonts w:hint="default" w:ascii="Times New Roman" w:hAnsi="Times New Roman" w:eastAsia="仿宋_GB2312" w:cs="Times New Roman"/>
          <w:b w:val="0"/>
          <w:bCs w:val="0"/>
          <w:color w:val="000000" w:themeColor="text1"/>
          <w:sz w:val="30"/>
          <w:szCs w:val="30"/>
          <w:lang w:eastAsia="zh-CN"/>
          <w14:textFill>
            <w14:solidFill>
              <w14:schemeClr w14:val="tx1"/>
            </w14:solidFill>
          </w14:textFill>
        </w:rPr>
        <w:t>清偿。通过</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积极争取债券资金、</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统筹</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本级财政资金、盘活资产资源等</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多元</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方式</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，全力推进</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拖欠企业账款</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清理工作，</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按照计划分步落实清偿任务：</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7月</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清理</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0.49亿元，8月</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清理</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0.74亿元，9月</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清理</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0.74亿元，10-12月每月</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清理</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0.49亿元</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lang w:val="en-US" w:eastAsia="zh-CN"/>
          <w14:textFill>
            <w14:solidFill>
              <w14:schemeClr w14:val="tx1"/>
            </w14:solidFill>
          </w14:textFill>
        </w:rPr>
        <w:t>预计全年</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完成清偿任务3.43亿元</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p>
    <w:p w14:paraId="04D5F5CF">
      <w:pPr>
        <w:keepNext w:val="0"/>
        <w:keepLines w:val="0"/>
        <w:pageBreakBefore w:val="0"/>
        <w:widowControl w:val="0"/>
        <w:kinsoku/>
        <w:wordWrap/>
        <w:overflowPunct/>
        <w:topLinePunct w:val="0"/>
        <w:autoSpaceDE/>
        <w:autoSpaceDN/>
        <w:bidi w:val="0"/>
        <w:adjustRightInd/>
        <w:snapToGrid/>
        <w:spacing w:after="0" w:line="620" w:lineRule="exact"/>
        <w:ind w:firstLine="602" w:firstLineChars="200"/>
        <w:jc w:val="both"/>
        <w:textAlignment w:val="auto"/>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pP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4.</w:t>
      </w:r>
      <w:r>
        <w:rPr>
          <w:rFonts w:hint="default" w:ascii="Times New Roman" w:hAnsi="Times New Roman" w:eastAsia="仿宋_GB2312" w:cs="Times New Roman"/>
          <w:b/>
          <w:bCs/>
          <w:color w:val="000000" w:themeColor="text1"/>
          <w:sz w:val="30"/>
          <w:szCs w:val="30"/>
          <w14:textFill>
            <w14:solidFill>
              <w14:schemeClr w14:val="tx1"/>
            </w14:solidFill>
          </w14:textFill>
        </w:rPr>
        <w:t>聚焦金融服务与风险防控，精准发力</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强化</w:t>
      </w:r>
      <w:r>
        <w:rPr>
          <w:rFonts w:hint="default" w:ascii="Times New Roman" w:hAnsi="Times New Roman" w:eastAsia="仿宋_GB2312" w:cs="Times New Roman"/>
          <w:b/>
          <w:bCs/>
          <w:color w:val="000000" w:themeColor="text1"/>
          <w:sz w:val="30"/>
          <w:szCs w:val="30"/>
          <w14:textFill>
            <w14:solidFill>
              <w14:schemeClr w14:val="tx1"/>
            </w14:solidFill>
          </w14:textFill>
        </w:rPr>
        <w:t>金融安全</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屏障</w:t>
      </w:r>
      <w:r>
        <w:rPr>
          <w:rFonts w:hint="default" w:ascii="Times New Roman" w:hAnsi="Times New Roman" w:eastAsia="仿宋_GB2312" w:cs="Times New Roman"/>
          <w:b/>
          <w:bCs/>
          <w:color w:val="000000" w:themeColor="text1"/>
          <w:sz w:val="30"/>
          <w:szCs w:val="30"/>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深入贯彻落实省、市、区委编办相关部署要求，积极推动金融机构与辖区企业融资对接</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同时坚持打非机制，加大金融机构监管力度，做好非法集资防控工作，组织开展针对</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黄金、养老、投资</w:t>
      </w:r>
      <w:r>
        <w:rPr>
          <w:rFonts w:hint="eastAsia"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等金融犯罪高发领域的专项行动</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对典当行、小额贷款公司等30家地方金融组织进行了规范管理和安全检查。密切跟踪和润村镇银行高风险问题，协助</w:t>
      </w:r>
      <w:r>
        <w:rPr>
          <w:rFonts w:hint="default" w:ascii="Times New Roman" w:hAnsi="Times New Roman" w:eastAsia="仿宋_GB2312" w:cs="Times New Roman"/>
          <w:b w:val="0"/>
          <w:bCs w:val="0"/>
          <w:color w:val="000000" w:themeColor="text1"/>
          <w:sz w:val="30"/>
          <w:szCs w:val="30"/>
          <w:shd w:val="clear" w:color="auto" w:fill="FFFFFF"/>
          <w:lang w:eastAsia="zh-CN"/>
          <w14:textFill>
            <w14:solidFill>
              <w14:schemeClr w14:val="tx1"/>
            </w14:solidFill>
          </w14:textFill>
        </w:rPr>
        <w:t>市委金融办</w:t>
      </w:r>
      <w:r>
        <w:rPr>
          <w:rFonts w:hint="default" w:ascii="Times New Roman" w:hAnsi="Times New Roman" w:eastAsia="仿宋_GB2312" w:cs="Times New Roman"/>
          <w:b w:val="0"/>
          <w:bCs w:val="0"/>
          <w:color w:val="000000" w:themeColor="text1"/>
          <w:sz w:val="30"/>
          <w:szCs w:val="30"/>
          <w:shd w:val="clear" w:color="auto" w:fill="FFFFFF"/>
          <w14:textFill>
            <w14:solidFill>
              <w14:schemeClr w14:val="tx1"/>
            </w14:solidFill>
          </w14:textFill>
        </w:rPr>
        <w:t>完成省内农商行改制工作。调度公检法机关陈案积案处置进展情况，5件亿元以上非法集资案件结案销号，对地方金融组织风险及安全生产隐患进行全面监管。</w:t>
      </w:r>
    </w:p>
    <w:p w14:paraId="7CFEB181">
      <w:pPr>
        <w:pStyle w:val="2"/>
        <w:keepNext w:val="0"/>
        <w:keepLines w:val="0"/>
        <w:pageBreakBefore w:val="0"/>
        <w:kinsoku/>
        <w:wordWrap/>
        <w:overflowPunct/>
        <w:topLinePunct w:val="0"/>
        <w:autoSpaceDE/>
        <w:autoSpaceDN/>
        <w:bidi w:val="0"/>
        <w:spacing w:line="620" w:lineRule="exact"/>
        <w:ind w:firstLine="602" w:firstLineChars="200"/>
        <w:textAlignment w:val="auto"/>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pPr>
      <w:r>
        <w:rPr>
          <w:rFonts w:hint="default" w:ascii="Times New Roman" w:hAnsi="Times New Roman" w:eastAsia="仿宋_GB2312" w:cs="Times New Roman"/>
          <w:b/>
          <w:bCs/>
          <w:color w:val="000000" w:themeColor="text1"/>
          <w:kern w:val="2"/>
          <w:sz w:val="30"/>
          <w:szCs w:val="30"/>
          <w:highlight w:val="none"/>
          <w:lang w:val="en-US" w:eastAsia="zh-CN" w:bidi="ar-SA"/>
          <w14:textFill>
            <w14:solidFill>
              <w14:schemeClr w14:val="tx1"/>
            </w14:solidFill>
          </w14:textFill>
        </w:rPr>
        <w:t>5.聚焦资源盘活，有序推进地块出让。</w:t>
      </w: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年初，区财政局梳理存量土地资源，明确锁厂地块为重点出让对象，随即开展前期可行性研究，重点分析规划兼容性、区域人口流入与产业支撑力及周边基础设施缺口，同步排查出周边商业衔接不足、地块内高压线需填埋等出让痛点，结合区域发展布局，明确该地块出让规划，精准锁定用途、容积率、建筑密度等核心指标及出让节点，确保与城市功能升级、产业发展需求精准匹配，后续依托研究成果定向对接市场主体，推动与区属国投达成合作。过程中同步高效完成地块价值评估、权属核查等前期工作，成功推动总面积0.8792公顷的地块出让，为区域城市建设和产业发展注入动力。</w:t>
      </w:r>
    </w:p>
    <w:p w14:paraId="3708B996">
      <w:pPr>
        <w:keepNext w:val="0"/>
        <w:keepLines w:val="0"/>
        <w:pageBreakBefore w:val="0"/>
        <w:kinsoku/>
        <w:wordWrap/>
        <w:overflowPunct/>
        <w:topLinePunct w:val="0"/>
        <w:autoSpaceDE/>
        <w:autoSpaceDN/>
        <w:bidi w:val="0"/>
        <w:spacing w:line="620" w:lineRule="exact"/>
        <w:textAlignment w:val="auto"/>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 xml:space="preserve">   </w:t>
      </w: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 xml:space="preserve"> （五）亟待改进的不足之处</w:t>
      </w:r>
    </w:p>
    <w:p w14:paraId="14DE310D">
      <w:pPr>
        <w:keepNext w:val="0"/>
        <w:keepLines w:val="0"/>
        <w:pageBreakBefore w:val="0"/>
        <w:kinsoku/>
        <w:wordWrap/>
        <w:overflowPunct/>
        <w:topLinePunct w:val="0"/>
        <w:autoSpaceDE/>
        <w:autoSpaceDN/>
        <w:bidi w:val="0"/>
        <w:spacing w:line="620" w:lineRule="exact"/>
        <w:ind w:firstLine="600" w:firstLineChars="200"/>
        <w:textAlignment w:val="auto"/>
        <w:rPr>
          <w:rFonts w:hint="default" w:ascii="Times New Roman" w:hAnsi="Times New Roman"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在严峻复杂的经济形势下，财政工作虽实现了收支基本平衡，但仍存在一些不足：</w:t>
      </w:r>
      <w:r>
        <w:rPr>
          <w:rFonts w:hint="default" w:ascii="Times New Roman" w:hAnsi="Times New Roman" w:eastAsia="仿宋_GB2312" w:cs="Times New Roman"/>
          <w:b/>
          <w:bCs/>
          <w:color w:val="000000" w:themeColor="text1"/>
          <w:kern w:val="2"/>
          <w:sz w:val="30"/>
          <w:szCs w:val="30"/>
          <w:highlight w:val="none"/>
          <w:lang w:val="en-US" w:eastAsia="zh-CN" w:bidi="ar-SA"/>
          <w14:textFill>
            <w14:solidFill>
              <w14:schemeClr w14:val="tx1"/>
            </w14:solidFill>
          </w14:textFill>
        </w:rPr>
        <w:t>一是</w:t>
      </w: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财政收入结构性问题凸显，本级财政收入虽实现6%的可比增长，但增长主要依赖非税收入中的一次性罚没收入和部分税种的波动性增长。企业所得税微增0.2%，房产税下降10.5%，作为收入主体的税种增长基础还不够稳定，收入结构的稳定性和可持续性面临挑战。</w:t>
      </w:r>
      <w:r>
        <w:rPr>
          <w:rFonts w:hint="default" w:ascii="Times New Roman" w:hAnsi="Times New Roman" w:eastAsia="仿宋_GB2312" w:cs="Times New Roman"/>
          <w:b/>
          <w:bCs/>
          <w:color w:val="000000" w:themeColor="text1"/>
          <w:kern w:val="2"/>
          <w:sz w:val="30"/>
          <w:szCs w:val="30"/>
          <w:highlight w:val="none"/>
          <w:lang w:val="en-US" w:eastAsia="zh-CN" w:bidi="ar-SA"/>
          <w14:textFill>
            <w14:solidFill>
              <w14:schemeClr w14:val="tx1"/>
            </w14:solidFill>
          </w14:textFill>
        </w:rPr>
        <w:t>二是</w:t>
      </w: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财政资源统筹与效率有待提升，尽管通过调入资金、争取上级补助等方式进行了财力统筹，但对上级转移支付的依赖度依然较高，盘活存量资金的规模和覆盖范围相对有限，资源更深度、更常态化的盘活利用尚有提升空间。</w:t>
      </w:r>
      <w:r>
        <w:rPr>
          <w:rFonts w:hint="default" w:ascii="Times New Roman" w:hAnsi="Times New Roman" w:eastAsia="仿宋_GB2312" w:cs="Times New Roman"/>
          <w:b/>
          <w:bCs/>
          <w:color w:val="000000" w:themeColor="text1"/>
          <w:kern w:val="2"/>
          <w:sz w:val="30"/>
          <w:szCs w:val="30"/>
          <w:highlight w:val="none"/>
          <w:lang w:val="en-US" w:eastAsia="zh-CN" w:bidi="ar-SA"/>
          <w14:textFill>
            <w14:solidFill>
              <w14:schemeClr w14:val="tx1"/>
            </w14:solidFill>
          </w14:textFill>
        </w:rPr>
        <w:t>三是</w:t>
      </w:r>
      <w:r>
        <w:rPr>
          <w:rFonts w:hint="default" w:ascii="Times New Roman" w:hAnsi="Times New Roman" w:eastAsia="仿宋_GB2312" w:cs="Times New Roman"/>
          <w:color w:val="000000" w:themeColor="text1"/>
          <w:kern w:val="2"/>
          <w:sz w:val="30"/>
          <w:szCs w:val="30"/>
          <w:highlight w:val="none"/>
          <w:lang w:val="en-US" w:eastAsia="zh-CN" w:bidi="ar-SA"/>
          <w14:textFill>
            <w14:solidFill>
              <w14:schemeClr w14:val="tx1"/>
            </w14:solidFill>
          </w14:textFill>
        </w:rPr>
        <w:t>债务管理与历史包袱化解难度大，历史形成的拖欠问题仍是财政运行的沉重负担，同时，债务付息支出持续增长，债务余额维持在25亿元水平，在收入增长乏力的情况下，防控债务风险、优化债务结构、平衡化债与发展投入的压力长期存在。</w:t>
      </w:r>
    </w:p>
    <w:p w14:paraId="1BA41C93">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黑体" w:cs="Times New Roman"/>
          <w:color w:val="000000" w:themeColor="text1"/>
          <w:sz w:val="30"/>
          <w:szCs w:val="30"/>
          <w14:textFill>
            <w14:solidFill>
              <w14:schemeClr w14:val="tx1"/>
            </w14:solidFill>
          </w14:textFill>
        </w:rPr>
      </w:pPr>
      <w:r>
        <w:rPr>
          <w:rFonts w:hint="default" w:ascii="Times New Roman" w:hAnsi="Times New Roman" w:eastAsia="黑体" w:cs="Times New Roman"/>
          <w:color w:val="000000" w:themeColor="text1"/>
          <w:sz w:val="30"/>
          <w:szCs w:val="30"/>
          <w14:textFill>
            <w14:solidFill>
              <w14:schemeClr w14:val="tx1"/>
            </w14:solidFill>
          </w14:textFill>
        </w:rPr>
        <w:t>二、202</w:t>
      </w:r>
      <w:r>
        <w:rPr>
          <w:rFonts w:hint="default" w:ascii="Times New Roman" w:hAnsi="Times New Roman" w:eastAsia="黑体" w:cs="Times New Roman"/>
          <w:color w:val="000000" w:themeColor="text1"/>
          <w:sz w:val="30"/>
          <w:szCs w:val="30"/>
          <w:lang w:val="en-US" w:eastAsia="zh-CN"/>
          <w14:textFill>
            <w14:solidFill>
              <w14:schemeClr w14:val="tx1"/>
            </w14:solidFill>
          </w14:textFill>
        </w:rPr>
        <w:t>6</w:t>
      </w:r>
      <w:r>
        <w:rPr>
          <w:rFonts w:hint="default" w:ascii="Times New Roman" w:hAnsi="Times New Roman" w:eastAsia="黑体" w:cs="Times New Roman"/>
          <w:color w:val="000000" w:themeColor="text1"/>
          <w:sz w:val="30"/>
          <w:szCs w:val="30"/>
          <w14:textFill>
            <w14:solidFill>
              <w14:schemeClr w14:val="tx1"/>
            </w14:solidFill>
          </w14:textFill>
        </w:rPr>
        <w:t>年预算草案</w:t>
      </w:r>
    </w:p>
    <w:p w14:paraId="62B63E0F">
      <w:pPr>
        <w:keepNext w:val="0"/>
        <w:keepLines w:val="0"/>
        <w:pageBreakBefore w:val="0"/>
        <w:widowControl/>
        <w:kinsoku/>
        <w:wordWrap/>
        <w:overflowPunct/>
        <w:topLinePunct w:val="0"/>
        <w:autoSpaceDE/>
        <w:autoSpaceDN/>
        <w:bidi w:val="0"/>
        <w:snapToGrid w:val="0"/>
        <w:spacing w:before="0" w:after="0" w:line="620" w:lineRule="exact"/>
        <w:ind w:left="0" w:leftChars="0" w:firstLine="360" w:firstLineChars="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sz w:val="30"/>
          <w:szCs w:val="30"/>
          <w14:textFill>
            <w14:solidFill>
              <w14:schemeClr w14:val="tx1"/>
            </w14:solidFill>
          </w14:textFill>
        </w:rPr>
        <w:t xml:space="preserve"> （一）</w:t>
      </w:r>
      <w:r>
        <w:rPr>
          <w:rFonts w:hint="default" w:ascii="Times New Roman" w:hAnsi="Times New Roman" w:eastAsia="楷体_GB2312" w:cs="Times New Roman"/>
          <w:b/>
          <w:bCs/>
          <w:color w:val="000000" w:themeColor="text1"/>
          <w:sz w:val="30"/>
          <w:szCs w:val="30"/>
          <w:lang w:val="en-US" w:eastAsia="zh-CN"/>
          <w14:textFill>
            <w14:solidFill>
              <w14:schemeClr w14:val="tx1"/>
            </w14:solidFill>
          </w14:textFill>
        </w:rPr>
        <w:t>2026年预算编制的指导思想和基本原则</w:t>
      </w:r>
    </w:p>
    <w:p w14:paraId="17CD785E">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以习近平新时代中国特色社会主义思想为指导，全面贯彻党的二十大及二十届三中、四中全会、中央经济工作会议精神，认真落实国家和省、市、区委重大决策部署及深化预算管理制度改革要求，坚持稳中求进工作总基调，锚定积极财政政策导向，牢固树立</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过紧日子</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过苦日子</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理念，统筹收支管理与周期调节，深化零基预算改革，推进预算编制精细化、标准化、法治化，做到开源节流、有保有压，把资金用在发展紧要处、民生急需上，为区域经济社会高质量发展提供坚实财政支撑。</w:t>
      </w:r>
    </w:p>
    <w:p w14:paraId="6D423421">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围绕上述指导思想，2026年预算编制将重点</w:t>
      </w:r>
      <w:r>
        <w:rPr>
          <w:rFonts w:hint="default" w:ascii="Times New Roman" w:hAnsi="Times New Roman" w:eastAsia="仿宋_GB2312" w:cs="Times New Roman"/>
          <w:color w:val="000000" w:themeColor="text1"/>
          <w:sz w:val="30"/>
          <w:szCs w:val="30"/>
          <w14:textFill>
            <w14:solidFill>
              <w14:schemeClr w14:val="tx1"/>
            </w14:solidFill>
          </w14:textFill>
        </w:rPr>
        <w:t>把握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四</w:t>
      </w:r>
      <w:r>
        <w:rPr>
          <w:rFonts w:hint="default" w:ascii="Times New Roman" w:hAnsi="Times New Roman" w:eastAsia="仿宋_GB2312" w:cs="Times New Roman"/>
          <w:color w:val="000000" w:themeColor="text1"/>
          <w:sz w:val="30"/>
          <w:szCs w:val="30"/>
          <w14:textFill>
            <w14:solidFill>
              <w14:schemeClr w14:val="tx1"/>
            </w14:solidFill>
          </w14:textFill>
        </w:rPr>
        <w:t>条原则：</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一是</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底线优先，兜牢民生，将</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三保</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作为预算首保任务，足额保障政策性支出，坚决守住民生保障和基层运转底线</w:t>
      </w:r>
      <w:r>
        <w:rPr>
          <w:rFonts w:hint="default" w:ascii="Times New Roman" w:hAnsi="Times New Roman" w:eastAsia="仿宋_GB2312" w:cs="Times New Roman"/>
          <w:color w:val="000000" w:themeColor="text1"/>
          <w:sz w:val="30"/>
          <w:szCs w:val="30"/>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二是</w:t>
      </w:r>
      <w:r>
        <w:rPr>
          <w:rFonts w:hint="default" w:ascii="Times New Roman" w:hAnsi="Times New Roman" w:eastAsia="仿宋_GB2312" w:cs="Times New Roman"/>
          <w:color w:val="000000" w:themeColor="text1"/>
          <w:sz w:val="30"/>
          <w:szCs w:val="30"/>
          <w14:textFill>
            <w14:solidFill>
              <w14:schemeClr w14:val="tx1"/>
            </w14:solidFill>
          </w14:textFill>
        </w:rPr>
        <w:t>统筹集约，精准发力</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全口径统筹财政资源，打破基数依赖深化零基预算改革，压减非刚性、低效支出，集中财力保障重大战略、重点项目落地</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三是</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绩效引领，闭环管理，坚持评估先行，实现项目事前评估、事中监控、事后评价全覆盖，强化绩效结果与预算安排挂钩，提升资金使用效益</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b/>
          <w:bCs/>
          <w:color w:val="000000" w:themeColor="text1"/>
          <w:sz w:val="30"/>
          <w:szCs w:val="30"/>
          <w:lang w:val="en-US" w:eastAsia="zh-CN"/>
          <w14:textFill>
            <w14:solidFill>
              <w14:schemeClr w14:val="tx1"/>
            </w14:solidFill>
          </w14:textFill>
        </w:rPr>
        <w:t>四</w:t>
      </w:r>
      <w:r>
        <w:rPr>
          <w:rFonts w:hint="default" w:ascii="Times New Roman" w:hAnsi="Times New Roman" w:eastAsia="仿宋_GB2312" w:cs="Times New Roman"/>
          <w:b/>
          <w:bCs/>
          <w:color w:val="000000" w:themeColor="text1"/>
          <w:sz w:val="30"/>
          <w:szCs w:val="30"/>
          <w14:textFill>
            <w14:solidFill>
              <w14:schemeClr w14:val="tx1"/>
            </w14:solidFill>
          </w14:textFill>
        </w:rPr>
        <w:t>是</w:t>
      </w:r>
      <w:r>
        <w:rPr>
          <w:rFonts w:hint="default" w:ascii="Times New Roman" w:hAnsi="Times New Roman" w:eastAsia="仿宋_GB2312" w:cs="Times New Roman"/>
          <w:color w:val="000000" w:themeColor="text1"/>
          <w:sz w:val="30"/>
          <w:szCs w:val="30"/>
          <w14:textFill>
            <w14:solidFill>
              <w14:schemeClr w14:val="tx1"/>
            </w14:solidFill>
          </w14:textFill>
        </w:rPr>
        <w:t>刚性约束，规范执行</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严格执行人大批准预算，严控预算追加调整，健全预算公开与监督机制，确保预算管理规范透明、约束有力</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w:t>
      </w:r>
    </w:p>
    <w:p w14:paraId="4FFE924D">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sz w:val="30"/>
          <w:szCs w:val="30"/>
          <w14:textFill>
            <w14:solidFill>
              <w14:schemeClr w14:val="tx1"/>
            </w14:solidFill>
          </w14:textFill>
        </w:rPr>
        <w:t>（二）202</w:t>
      </w: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6</w:t>
      </w:r>
      <w:r>
        <w:rPr>
          <w:rFonts w:hint="default" w:ascii="Times New Roman" w:hAnsi="Times New Roman" w:eastAsia="楷体_GB2312" w:cs="Times New Roman"/>
          <w:b/>
          <w:color w:val="000000" w:themeColor="text1"/>
          <w:sz w:val="30"/>
          <w:szCs w:val="30"/>
          <w14:textFill>
            <w14:solidFill>
              <w14:schemeClr w14:val="tx1"/>
            </w14:solidFill>
          </w14:textFill>
        </w:rPr>
        <w:t>年一般公共预算收入预计和支出安排</w:t>
      </w:r>
    </w:p>
    <w:p w14:paraId="538C1D02">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202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年，全区一般公共预算收入计划完成</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103</w:t>
      </w:r>
      <w:r>
        <w:rPr>
          <w:rFonts w:hint="default" w:ascii="Times New Roman" w:hAnsi="Times New Roman" w:eastAsia="仿宋_GB2312" w:cs="Times New Roman"/>
          <w:color w:val="000000" w:themeColor="text1"/>
          <w:sz w:val="30"/>
          <w:szCs w:val="30"/>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00万元，</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同比</w:t>
      </w:r>
      <w:r>
        <w:rPr>
          <w:rFonts w:hint="default" w:ascii="Times New Roman" w:hAnsi="Times New Roman" w:eastAsia="仿宋_GB2312" w:cs="Times New Roman"/>
          <w:color w:val="000000" w:themeColor="text1"/>
          <w:sz w:val="30"/>
          <w:szCs w:val="30"/>
          <w14:textFill>
            <w14:solidFill>
              <w14:schemeClr w14:val="tx1"/>
            </w14:solidFill>
          </w14:textFill>
        </w:rPr>
        <w:t>增长</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3.1</w:t>
      </w:r>
      <w:r>
        <w:rPr>
          <w:rFonts w:hint="default" w:ascii="Times New Roman" w:hAnsi="Times New Roman" w:eastAsia="仿宋_GB2312" w:cs="Times New Roman"/>
          <w:color w:val="000000" w:themeColor="text1"/>
          <w:sz w:val="30"/>
          <w:szCs w:val="30"/>
          <w14:textFill>
            <w14:solidFill>
              <w14:schemeClr w14:val="tx1"/>
            </w14:solidFill>
          </w14:textFill>
        </w:rPr>
        <w:t>%，加上上级补助收入140,000万元，调入预算稳定调节基金</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910</w:t>
      </w:r>
      <w:r>
        <w:rPr>
          <w:rFonts w:hint="default" w:ascii="Times New Roman" w:hAnsi="Times New Roman" w:eastAsia="仿宋_GB2312" w:cs="Times New Roman"/>
          <w:color w:val="000000" w:themeColor="text1"/>
          <w:sz w:val="30"/>
          <w:szCs w:val="30"/>
          <w14:textFill>
            <w14:solidFill>
              <w14:schemeClr w14:val="tx1"/>
            </w14:solidFill>
          </w14:textFill>
        </w:rPr>
        <w:t>万元，上年结转收入</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19</w:t>
      </w:r>
      <w:r>
        <w:rPr>
          <w:rFonts w:hint="default" w:ascii="Times New Roman" w:hAnsi="Times New Roman" w:eastAsia="仿宋_GB2312" w:cs="Times New Roman"/>
          <w:color w:val="000000" w:themeColor="text1"/>
          <w:sz w:val="30"/>
          <w:szCs w:val="30"/>
          <w14:textFill>
            <w14:solidFill>
              <w14:schemeClr w14:val="tx1"/>
            </w14:solidFill>
          </w14:textFill>
        </w:rPr>
        <w:t>,000万元，收入总计预计完成26</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3</w:t>
      </w:r>
      <w:r>
        <w:rPr>
          <w:rFonts w:hint="default" w:ascii="Times New Roman" w:hAnsi="Times New Roman" w:eastAsia="仿宋_GB2312" w:cs="Times New Roman"/>
          <w:color w:val="000000" w:themeColor="text1"/>
          <w:sz w:val="30"/>
          <w:szCs w:val="30"/>
          <w14:textFill>
            <w14:solidFill>
              <w14:schemeClr w14:val="tx1"/>
            </w14:solidFill>
          </w14:textFill>
        </w:rPr>
        <w:t>,</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51</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0</w:t>
      </w:r>
      <w:r>
        <w:rPr>
          <w:rFonts w:hint="default" w:ascii="Times New Roman" w:hAnsi="Times New Roman" w:eastAsia="仿宋_GB2312" w:cs="Times New Roman"/>
          <w:color w:val="000000" w:themeColor="text1"/>
          <w:sz w:val="30"/>
          <w:szCs w:val="30"/>
          <w14:textFill>
            <w14:solidFill>
              <w14:schemeClr w14:val="tx1"/>
            </w14:solidFill>
          </w14:textFill>
        </w:rPr>
        <w:t>万元；全区一般公共预算支出计划完成2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50</w:t>
      </w:r>
      <w:r>
        <w:rPr>
          <w:rFonts w:hint="default" w:ascii="Times New Roman" w:hAnsi="Times New Roman" w:eastAsia="仿宋_GB2312" w:cs="Times New Roman"/>
          <w:color w:val="000000" w:themeColor="text1"/>
          <w:sz w:val="30"/>
          <w:szCs w:val="30"/>
          <w14:textFill>
            <w14:solidFill>
              <w14:schemeClr w14:val="tx1"/>
            </w14:solidFill>
          </w14:textFill>
        </w:rPr>
        <w:t>,000万元，加上上解支出</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,000万元，补充预算稳定调节基金</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2</w:t>
      </w:r>
      <w:r>
        <w:rPr>
          <w:rFonts w:hint="default" w:ascii="Times New Roman" w:hAnsi="Times New Roman" w:eastAsia="仿宋_GB2312" w:cs="Times New Roman"/>
          <w:color w:val="000000" w:themeColor="text1"/>
          <w:sz w:val="30"/>
          <w:szCs w:val="30"/>
          <w14:textFill>
            <w14:solidFill>
              <w14:schemeClr w14:val="tx1"/>
            </w14:solidFill>
          </w14:textFill>
        </w:rPr>
        <w:t>,000万元，结转下年支出</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1</w:t>
      </w:r>
      <w:r>
        <w:rPr>
          <w:rFonts w:hint="default" w:ascii="Times New Roman" w:hAnsi="Times New Roman" w:eastAsia="仿宋_GB2312" w:cs="Times New Roman"/>
          <w:color w:val="000000" w:themeColor="text1"/>
          <w:sz w:val="30"/>
          <w:szCs w:val="30"/>
          <w14:textFill>
            <w14:solidFill>
              <w14:schemeClr w14:val="tx1"/>
            </w14:solidFill>
          </w14:textFill>
        </w:rPr>
        <w:t>0万元，支出总计预计安排</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263</w:t>
      </w:r>
      <w:r>
        <w:rPr>
          <w:rFonts w:hint="default" w:ascii="Times New Roman" w:hAnsi="Times New Roman" w:eastAsia="仿宋_GB2312" w:cs="Times New Roman"/>
          <w:color w:val="000000" w:themeColor="text1"/>
          <w:sz w:val="30"/>
          <w:szCs w:val="30"/>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51</w:t>
      </w:r>
      <w:r>
        <w:rPr>
          <w:rFonts w:hint="default" w:ascii="Times New Roman" w:hAnsi="Times New Roman" w:eastAsia="仿宋_GB2312" w:cs="Times New Roman"/>
          <w:color w:val="000000" w:themeColor="text1"/>
          <w:sz w:val="30"/>
          <w:szCs w:val="30"/>
          <w14:textFill>
            <w14:solidFill>
              <w14:schemeClr w14:val="tx1"/>
            </w14:solidFill>
          </w14:textFill>
        </w:rPr>
        <w:t>0万元。</w:t>
      </w:r>
    </w:p>
    <w:p w14:paraId="4D49B3ED">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sz w:val="30"/>
          <w:szCs w:val="30"/>
          <w14:textFill>
            <w14:solidFill>
              <w14:schemeClr w14:val="tx1"/>
            </w14:solidFill>
          </w14:textFill>
        </w:rPr>
        <w:t>（三）202</w:t>
      </w: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6</w:t>
      </w:r>
      <w:r>
        <w:rPr>
          <w:rFonts w:hint="default" w:ascii="Times New Roman" w:hAnsi="Times New Roman" w:eastAsia="楷体_GB2312" w:cs="Times New Roman"/>
          <w:b/>
          <w:color w:val="000000" w:themeColor="text1"/>
          <w:sz w:val="30"/>
          <w:szCs w:val="30"/>
          <w14:textFill>
            <w14:solidFill>
              <w14:schemeClr w14:val="tx1"/>
            </w14:solidFill>
          </w14:textFill>
        </w:rPr>
        <w:t>年政府性基金预算收入预计和支出安排</w:t>
      </w:r>
    </w:p>
    <w:p w14:paraId="1BA07FD1">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highlight w:val="none"/>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202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年，政府性基金预算收入计划完成</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w:t>
      </w:r>
      <w:r>
        <w:rPr>
          <w:rFonts w:hint="default" w:ascii="Times New Roman" w:hAnsi="Times New Roman" w:eastAsia="仿宋_GB2312" w:cs="Times New Roman"/>
          <w:color w:val="000000" w:themeColor="text1"/>
          <w:sz w:val="30"/>
          <w:szCs w:val="30"/>
          <w14:textFill>
            <w14:solidFill>
              <w14:schemeClr w14:val="tx1"/>
            </w14:solidFill>
          </w14:textFill>
        </w:rPr>
        <w:t>,7</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45</w:t>
      </w:r>
      <w:r>
        <w:rPr>
          <w:rFonts w:hint="default" w:ascii="Times New Roman" w:hAnsi="Times New Roman" w:eastAsia="仿宋_GB2312" w:cs="Times New Roman"/>
          <w:color w:val="000000" w:themeColor="text1"/>
          <w:sz w:val="30"/>
          <w:szCs w:val="30"/>
          <w14:textFill>
            <w14:solidFill>
              <w14:schemeClr w14:val="tx1"/>
            </w14:solidFill>
          </w14:textFill>
        </w:rPr>
        <w:t>万元，加上上级补助收入</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,000万元，上年结余收入</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9</w:t>
      </w:r>
      <w:r>
        <w:rPr>
          <w:rFonts w:hint="default" w:ascii="Times New Roman" w:hAnsi="Times New Roman" w:eastAsia="仿宋_GB2312" w:cs="Times New Roman"/>
          <w:color w:val="000000" w:themeColor="text1"/>
          <w:sz w:val="30"/>
          <w:szCs w:val="30"/>
          <w14:textFill>
            <w14:solidFill>
              <w14:schemeClr w14:val="tx1"/>
            </w14:solidFill>
          </w14:textFill>
        </w:rPr>
        <w:t>,00</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6</w:t>
      </w:r>
      <w:r>
        <w:rPr>
          <w:rFonts w:hint="default" w:ascii="Times New Roman" w:hAnsi="Times New Roman" w:eastAsia="仿宋_GB2312" w:cs="Times New Roman"/>
          <w:color w:val="000000" w:themeColor="text1"/>
          <w:sz w:val="30"/>
          <w:szCs w:val="30"/>
          <w14:textFill>
            <w14:solidFill>
              <w14:schemeClr w14:val="tx1"/>
            </w14:solidFill>
          </w14:textFill>
        </w:rPr>
        <w:t>万元，收入总计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15</w:t>
      </w:r>
      <w:r>
        <w:rPr>
          <w:rFonts w:hint="default" w:ascii="Times New Roman" w:hAnsi="Times New Roman" w:eastAsia="仿宋_GB2312" w:cs="Times New Roman"/>
          <w:color w:val="000000" w:themeColor="text1"/>
          <w:sz w:val="30"/>
          <w:szCs w:val="30"/>
          <w14:textFill>
            <w14:solidFill>
              <w14:schemeClr w14:val="tx1"/>
            </w14:solidFill>
          </w14:textFill>
        </w:rPr>
        <w:t>,7</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1万元；政府性基金预算支出计划完成</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12</w:t>
      </w:r>
      <w:r>
        <w:rPr>
          <w:rFonts w:hint="default" w:ascii="Times New Roman" w:hAnsi="Times New Roman" w:eastAsia="仿宋_GB2312" w:cs="Times New Roman"/>
          <w:color w:val="000000" w:themeColor="text1"/>
          <w:sz w:val="30"/>
          <w:szCs w:val="30"/>
          <w14:textFill>
            <w14:solidFill>
              <w14:schemeClr w14:val="tx1"/>
            </w14:solidFill>
          </w14:textFill>
        </w:rPr>
        <w:t>,2</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1万元，上解支出300万元，调出资金1,200万元，年终结余</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2</w:t>
      </w:r>
      <w:r>
        <w:rPr>
          <w:rFonts w:hint="default" w:ascii="Times New Roman" w:hAnsi="Times New Roman" w:eastAsia="仿宋_GB2312" w:cs="Times New Roman"/>
          <w:color w:val="000000" w:themeColor="text1"/>
          <w:sz w:val="30"/>
          <w:szCs w:val="30"/>
          <w14:textFill>
            <w14:solidFill>
              <w14:schemeClr w14:val="tx1"/>
            </w14:solidFill>
          </w14:textFill>
        </w:rPr>
        <w:t>,000万元，支出总计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15</w:t>
      </w:r>
      <w:r>
        <w:rPr>
          <w:rFonts w:hint="default" w:ascii="Times New Roman" w:hAnsi="Times New Roman" w:eastAsia="仿宋_GB2312" w:cs="Times New Roman"/>
          <w:color w:val="000000" w:themeColor="text1"/>
          <w:sz w:val="30"/>
          <w:szCs w:val="30"/>
          <w14:textFill>
            <w14:solidFill>
              <w14:schemeClr w14:val="tx1"/>
            </w14:solidFill>
          </w14:textFill>
        </w:rPr>
        <w:t>,7</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5</w:t>
      </w:r>
      <w:r>
        <w:rPr>
          <w:rFonts w:hint="default" w:ascii="Times New Roman" w:hAnsi="Times New Roman" w:eastAsia="仿宋_GB2312" w:cs="Times New Roman"/>
          <w:color w:val="000000" w:themeColor="text1"/>
          <w:sz w:val="30"/>
          <w:szCs w:val="30"/>
          <w14:textFill>
            <w14:solidFill>
              <w14:schemeClr w14:val="tx1"/>
            </w14:solidFill>
          </w14:textFill>
        </w:rPr>
        <w:t>1万元。</w:t>
      </w:r>
    </w:p>
    <w:p w14:paraId="0FD990B1">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黑体" w:cs="Times New Roman"/>
          <w:b w:val="0"/>
          <w:bCs w:val="0"/>
          <w:color w:val="000000" w:themeColor="text1"/>
          <w:sz w:val="30"/>
          <w:szCs w:val="30"/>
          <w14:textFill>
            <w14:solidFill>
              <w14:schemeClr w14:val="tx1"/>
            </w14:solidFill>
          </w14:textFill>
        </w:rPr>
      </w:pPr>
      <w:r>
        <w:rPr>
          <w:rFonts w:hint="default" w:ascii="Times New Roman" w:hAnsi="Times New Roman" w:eastAsia="黑体" w:cs="Times New Roman"/>
          <w:b w:val="0"/>
          <w:bCs w:val="0"/>
          <w:color w:val="000000" w:themeColor="text1"/>
          <w:sz w:val="30"/>
          <w:szCs w:val="30"/>
          <w14:textFill>
            <w14:solidFill>
              <w14:schemeClr w14:val="tx1"/>
            </w14:solidFill>
          </w14:textFill>
        </w:rPr>
        <w:t>三、保障措施及工作重点</w:t>
      </w:r>
    </w:p>
    <w:p w14:paraId="18251B49">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2026年，在宏观环境复杂多变、财政运行挑战加剧的形势下</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区财政局将紧盯向上争取、向内挖潜不放松，着力增强工作的前瞻性、主动性和针对性，平滑缓释持续累积的压力矛盾，保持合理支出强度</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提高资金使用效益</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实现财政收支平衡</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w:t>
      </w:r>
    </w:p>
    <w:p w14:paraId="5C3080F9">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（一）</w:t>
      </w:r>
      <w:r>
        <w:rPr>
          <w:rFonts w:hint="default" w:ascii="Times New Roman" w:hAnsi="Times New Roman" w:eastAsia="楷体_GB2312" w:cs="Times New Roman"/>
          <w:b/>
          <w:color w:val="000000" w:themeColor="text1"/>
          <w:sz w:val="30"/>
          <w:szCs w:val="30"/>
          <w14:textFill>
            <w14:solidFill>
              <w14:schemeClr w14:val="tx1"/>
            </w14:solidFill>
          </w14:textFill>
        </w:rPr>
        <w:t>多维拓展财源渠道，夯实收入保障基础</w:t>
      </w:r>
    </w:p>
    <w:p w14:paraId="4E4540AA">
      <w:pPr>
        <w:keepNext w:val="0"/>
        <w:keepLines w:val="0"/>
        <w:pageBreakBefore w:val="0"/>
        <w:widowControl/>
        <w:numPr>
          <w:ilvl w:val="0"/>
          <w:numId w:val="0"/>
        </w:numPr>
        <w:tabs>
          <w:tab w:val="left" w:pos="7040"/>
        </w:tabs>
        <w:kinsoku/>
        <w:wordWrap/>
        <w:overflowPunct/>
        <w:topLinePunct w:val="0"/>
        <w:autoSpaceDE/>
        <w:autoSpaceDN/>
        <w:bidi w:val="0"/>
        <w:snapToGrid w:val="0"/>
        <w:spacing w:before="0" w:after="0" w:line="620" w:lineRule="exact"/>
        <w:ind w:left="0" w:leftChars="0" w:firstLine="600" w:firstLineChars="20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b w:val="0"/>
          <w:bCs w:val="0"/>
          <w:color w:val="000000" w:themeColor="text1"/>
          <w:sz w:val="30"/>
          <w:szCs w:val="30"/>
          <w:lang w:val="en-US" w:eastAsia="zh-CN"/>
          <w14:textFill>
            <w14:solidFill>
              <w14:schemeClr w14:val="tx1"/>
            </w14:solidFill>
          </w14:textFill>
        </w:rPr>
        <w:t>持续</w:t>
      </w:r>
      <w:r>
        <w:rPr>
          <w:rFonts w:hint="default" w:ascii="Times New Roman" w:hAnsi="Times New Roman" w:eastAsia="仿宋_GB2312" w:cs="Times New Roman"/>
          <w:b w:val="0"/>
          <w:bCs w:val="0"/>
          <w:color w:val="000000" w:themeColor="text1"/>
          <w:sz w:val="30"/>
          <w:szCs w:val="30"/>
          <w14:textFill>
            <w14:solidFill>
              <w14:schemeClr w14:val="tx1"/>
            </w14:solidFill>
          </w14:textFill>
        </w:rPr>
        <w:t>加强与税务、人民银行等部门协同联动，依托财政运行大数据平台，深入落实《吉林省税收保障办法》，优化地方税体系与绿色税收机制，深化非税收入改革。聚焦房产税等重点税种，加大宾馆酒店领域排查及历史欠税清收力度，强化大型医疗机构残保金征缴，规范罚没收入征管，实现税费应收尽收。积极争取上级转移支付与政府债券支持，盘活结转结余资金及闲置资产，拓宽多元财源，增强财政保障后劲</w:t>
      </w:r>
      <w:r>
        <w:rPr>
          <w:rFonts w:hint="default" w:ascii="Times New Roman" w:hAnsi="Times New Roman" w:eastAsia="仿宋_GB2312" w:cs="Times New Roman"/>
          <w:color w:val="000000" w:themeColor="text1"/>
          <w:sz w:val="30"/>
          <w:szCs w:val="30"/>
          <w14:textFill>
            <w14:solidFill>
              <w14:schemeClr w14:val="tx1"/>
            </w14:solidFill>
          </w14:textFill>
        </w:rPr>
        <w:t>。</w:t>
      </w:r>
    </w:p>
    <w:p w14:paraId="4B12FD51">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lang w:eastAsia="zh-CN"/>
          <w14:textFill>
            <w14:solidFill>
              <w14:schemeClr w14:val="tx1"/>
            </w14:solidFill>
          </w14:textFill>
        </w:rPr>
      </w:pP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（二）</w:t>
      </w:r>
      <w:r>
        <w:rPr>
          <w:rFonts w:hint="default" w:ascii="Times New Roman" w:hAnsi="Times New Roman" w:eastAsia="楷体_GB2312" w:cs="Times New Roman"/>
          <w:b/>
          <w:color w:val="000000" w:themeColor="text1"/>
          <w:sz w:val="30"/>
          <w:szCs w:val="30"/>
          <w:lang w:eastAsia="zh-CN"/>
          <w14:textFill>
            <w14:solidFill>
              <w14:schemeClr w14:val="tx1"/>
            </w14:solidFill>
          </w14:textFill>
        </w:rPr>
        <w:t>坚持精打细算节流，优化支出配置效能</w:t>
      </w:r>
    </w:p>
    <w:p w14:paraId="2DE239C8">
      <w:pPr>
        <w:keepNext w:val="0"/>
        <w:keepLines w:val="0"/>
        <w:pageBreakBefore w:val="0"/>
        <w:numPr>
          <w:ilvl w:val="0"/>
          <w:numId w:val="0"/>
        </w:numPr>
        <w:kinsoku/>
        <w:wordWrap/>
        <w:overflowPunct/>
        <w:topLinePunct w:val="0"/>
        <w:autoSpaceDE/>
        <w:autoSpaceDN/>
        <w:bidi w:val="0"/>
        <w:spacing w:before="0" w:after="0" w:line="620" w:lineRule="exact"/>
        <w:ind w:firstLine="643" w:firstLineChars="0"/>
        <w:jc w:val="both"/>
        <w:textAlignment w:val="auto"/>
        <w:rPr>
          <w:rFonts w:hint="default"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严格遵循</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量入为出、量力而行</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原则，以</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过紧日子</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思想为导向优化支出。将</w:t>
      </w:r>
      <w:r>
        <w:rPr>
          <w:rFonts w:hint="eastAsia"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三保</w:t>
      </w:r>
      <w:r>
        <w:rPr>
          <w:rFonts w:hint="eastAsia"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w:t>
      </w:r>
      <w:r>
        <w:rPr>
          <w:rFonts w:hint="default"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支出作为财政刚性底线，优先足额保障，确保民生福祉与行政运转稳定，同时从严压减非刚性、非重点支出，杜绝资金浪费；另一方面聚焦区域重点项目建设需求，统筹盘活存量资金，科学安排项目资金拨付节奏，避免资源闲置，保障关键领域工作有序推进。</w:t>
      </w:r>
    </w:p>
    <w:p w14:paraId="13009DFB">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lang w:eastAsia="zh-CN"/>
          <w14:textFill>
            <w14:solidFill>
              <w14:schemeClr w14:val="tx1"/>
            </w14:solidFill>
          </w14:textFill>
        </w:rPr>
      </w:pPr>
      <w:r>
        <w:rPr>
          <w:rFonts w:hint="default" w:ascii="Times New Roman" w:hAnsi="Times New Roman" w:eastAsia="楷体_GB2312" w:cs="Times New Roman"/>
          <w:b/>
          <w:color w:val="000000" w:themeColor="text1"/>
          <w:sz w:val="30"/>
          <w:szCs w:val="30"/>
          <w:lang w:val="en-US" w:eastAsia="zh-CN"/>
          <w14:textFill>
            <w14:solidFill>
              <w14:schemeClr w14:val="tx1"/>
            </w14:solidFill>
          </w14:textFill>
        </w:rPr>
        <w:t>（三）</w:t>
      </w:r>
      <w:r>
        <w:rPr>
          <w:rFonts w:hint="default" w:ascii="Times New Roman" w:hAnsi="Times New Roman" w:eastAsia="楷体_GB2312" w:cs="Times New Roman"/>
          <w:b/>
          <w:color w:val="000000" w:themeColor="text1"/>
          <w:sz w:val="30"/>
          <w:szCs w:val="30"/>
          <w:lang w:eastAsia="zh-CN"/>
          <w14:textFill>
            <w14:solidFill>
              <w14:schemeClr w14:val="tx1"/>
            </w14:solidFill>
          </w14:textFill>
        </w:rPr>
        <w:t>强化债务风险防控，推进历史包袱化解</w:t>
      </w:r>
    </w:p>
    <w:p w14:paraId="746E4DEF">
      <w:pPr>
        <w:keepNext w:val="0"/>
        <w:keepLines w:val="0"/>
        <w:pageBreakBefore w:val="0"/>
        <w:numPr>
          <w:ilvl w:val="0"/>
          <w:numId w:val="0"/>
        </w:numPr>
        <w:kinsoku/>
        <w:wordWrap/>
        <w:overflowPunct/>
        <w:topLinePunct w:val="0"/>
        <w:autoSpaceDE/>
        <w:autoSpaceDN/>
        <w:bidi w:val="0"/>
        <w:spacing w:before="0" w:after="0" w:line="620" w:lineRule="exact"/>
        <w:ind w:firstLine="643" w:firstLineChars="0"/>
        <w:jc w:val="both"/>
        <w:textAlignment w:val="auto"/>
        <w:rPr>
          <w:rFonts w:hint="default" w:ascii="Times New Roman" w:hAnsi="Times New Roman" w:cs="Times New Roman"/>
          <w:color w:val="000000" w:themeColor="text1"/>
          <w:sz w:val="30"/>
          <w:szCs w:val="30"/>
          <w:lang w:val="en-US" w:eastAsia="zh-CN"/>
          <w14:textFill>
            <w14:solidFill>
              <w14:schemeClr w14:val="tx1"/>
            </w14:solidFill>
          </w14:textFill>
        </w:rPr>
      </w:pPr>
      <w:r>
        <w:rPr>
          <w:rFonts w:hint="default" w:ascii="Times New Roman" w:hAnsi="Times New Roman" w:eastAsia="仿宋_GB2312" w:cs="Times New Roman"/>
          <w:color w:val="000000" w:themeColor="text1"/>
          <w:sz w:val="30"/>
          <w:szCs w:val="30"/>
          <w:lang w:val="en-US" w:eastAsia="zh-CN"/>
          <w14:textFill>
            <w14:solidFill>
              <w14:schemeClr w14:val="tx1"/>
            </w14:solidFill>
          </w14:textFill>
        </w:rPr>
        <w:t>健全债务动态监控机制，严格规范政府债务管理，合理优化债务期限结构，降低利息支出压力；拓宽化债资金渠道，结合资产盘活、项目收益等方式，稳步推进拖欠账款清偿，切实减轻财政运行负担，守住不发生系统性风险底线</w:t>
      </w:r>
      <w:r>
        <w:rPr>
          <w:rFonts w:hint="default" w:ascii="Times New Roman" w:hAnsi="Times New Roman" w:eastAsia="仿宋_GB2312" w:cs="Times New Roman"/>
          <w:b w:val="0"/>
          <w:bCs w:val="0"/>
          <w:color w:val="000000" w:themeColor="text1"/>
          <w:sz w:val="30"/>
          <w:szCs w:val="30"/>
          <w:lang w:val="en-US" w:eastAsia="zh-CN" w:bidi="ar-SA"/>
          <w14:textFill>
            <w14:solidFill>
              <w14:schemeClr w14:val="tx1"/>
            </w14:solidFill>
          </w14:textFill>
        </w:rPr>
        <w:t>。</w:t>
      </w:r>
    </w:p>
    <w:p w14:paraId="5E86F908">
      <w:pPr>
        <w:keepNext w:val="0"/>
        <w:keepLines w:val="0"/>
        <w:pageBreakBefore w:val="0"/>
        <w:widowControl/>
        <w:kinsoku/>
        <w:wordWrap/>
        <w:overflowPunct/>
        <w:topLinePunct w:val="0"/>
        <w:autoSpaceDE/>
        <w:autoSpaceDN/>
        <w:bidi w:val="0"/>
        <w:snapToGrid w:val="0"/>
        <w:spacing w:before="0" w:after="0" w:line="620" w:lineRule="exact"/>
        <w:ind w:left="0" w:leftChars="0" w:firstLine="460" w:firstLineChars="0"/>
        <w:jc w:val="both"/>
        <w:textAlignment w:val="auto"/>
        <w:rPr>
          <w:rFonts w:hint="default" w:ascii="Times New Roman" w:hAnsi="Times New Roman" w:eastAsia="楷体_GB2312" w:cs="Times New Roman"/>
          <w:b/>
          <w:color w:val="000000" w:themeColor="text1"/>
          <w:sz w:val="30"/>
          <w:szCs w:val="30"/>
          <w14:textFill>
            <w14:solidFill>
              <w14:schemeClr w14:val="tx1"/>
            </w14:solidFill>
          </w14:textFill>
        </w:rPr>
      </w:pPr>
      <w:r>
        <w:rPr>
          <w:rFonts w:hint="default" w:ascii="Times New Roman" w:hAnsi="Times New Roman" w:eastAsia="楷体_GB2312" w:cs="Times New Roman"/>
          <w:b/>
          <w:color w:val="000000" w:themeColor="text1"/>
          <w:kern w:val="0"/>
          <w:sz w:val="30"/>
          <w:szCs w:val="30"/>
          <w:lang w:val="en-US" w:eastAsia="zh-CN" w:bidi="ar-SA"/>
          <w14:textFill>
            <w14:solidFill>
              <w14:schemeClr w14:val="tx1"/>
            </w14:solidFill>
          </w14:textFill>
        </w:rPr>
        <w:t>（四）</w:t>
      </w:r>
      <w:r>
        <w:rPr>
          <w:rFonts w:hint="default" w:ascii="Times New Roman" w:hAnsi="Times New Roman" w:eastAsia="楷体_GB2312" w:cs="Times New Roman"/>
          <w:b/>
          <w:color w:val="000000" w:themeColor="text1"/>
          <w:sz w:val="30"/>
          <w:szCs w:val="30"/>
          <w14:textFill>
            <w14:solidFill>
              <w14:schemeClr w14:val="tx1"/>
            </w14:solidFill>
          </w14:textFill>
        </w:rPr>
        <w:t>严肃财经纪律，强化财政监督管理</w:t>
      </w:r>
    </w:p>
    <w:p w14:paraId="6CEDBE95">
      <w:pPr>
        <w:keepNext w:val="0"/>
        <w:keepLines w:val="0"/>
        <w:pageBreakBefore w:val="0"/>
        <w:numPr>
          <w:ilvl w:val="0"/>
          <w:numId w:val="0"/>
        </w:numPr>
        <w:kinsoku/>
        <w:wordWrap/>
        <w:overflowPunct/>
        <w:topLinePunct w:val="0"/>
        <w:autoSpaceDE/>
        <w:autoSpaceDN/>
        <w:bidi w:val="0"/>
        <w:spacing w:before="0" w:after="0" w:line="620" w:lineRule="exact"/>
        <w:ind w:firstLine="643" w:firstLineChars="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以规范资金使用、防范风险为核心，聚焦财政监督关键环节发力。依托财政一体化平台，对预算编制、资金拨付及项目实施全流程动态监控，建立问题闭环整改机制。深化与纪检监察、审计部门协同联动，共享监管信息</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开展联合专项检查，对违规违纪行为严肃追责问责。加强区级行政事业单位财经管理指导，规范会计核算流程，提升财务人员合规意识，从源头筑牢财经纪律防线。</w:t>
      </w:r>
    </w:p>
    <w:p w14:paraId="64C065A2">
      <w:pPr>
        <w:keepNext w:val="0"/>
        <w:keepLines w:val="0"/>
        <w:pageBreakBefore w:val="0"/>
        <w:kinsoku/>
        <w:wordWrap/>
        <w:overflowPunct/>
        <w:topLinePunct w:val="0"/>
        <w:autoSpaceDE/>
        <w:autoSpaceDN/>
        <w:bidi w:val="0"/>
        <w:spacing w:before="0" w:after="0" w:line="620" w:lineRule="exact"/>
        <w:ind w:firstLine="640"/>
        <w:jc w:val="both"/>
        <w:textAlignment w:val="auto"/>
        <w:rPr>
          <w:rFonts w:hint="default" w:ascii="Times New Roman" w:hAnsi="Times New Roman" w:eastAsia="仿宋_GB2312" w:cs="Times New Roman"/>
          <w:color w:val="000000" w:themeColor="text1"/>
          <w:sz w:val="30"/>
          <w:szCs w:val="30"/>
          <w14:textFill>
            <w14:solidFill>
              <w14:schemeClr w14:val="tx1"/>
            </w14:solidFill>
          </w14:textFill>
        </w:rPr>
      </w:pPr>
      <w:r>
        <w:rPr>
          <w:rFonts w:hint="default" w:ascii="Times New Roman" w:hAnsi="Times New Roman" w:eastAsia="仿宋_GB2312" w:cs="Times New Roman"/>
          <w:color w:val="000000" w:themeColor="text1"/>
          <w:sz w:val="30"/>
          <w:szCs w:val="30"/>
          <w14:textFill>
            <w14:solidFill>
              <w14:schemeClr w14:val="tx1"/>
            </w14:solidFill>
          </w14:textFill>
        </w:rPr>
        <w:t>各位代表，2026年是</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十五五</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规划开局之年，区财政</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将</w:t>
      </w:r>
      <w:r>
        <w:rPr>
          <w:rFonts w:hint="default" w:ascii="Times New Roman" w:hAnsi="Times New Roman" w:eastAsia="仿宋_GB2312" w:cs="Times New Roman"/>
          <w:color w:val="000000" w:themeColor="text1"/>
          <w:sz w:val="30"/>
          <w:szCs w:val="30"/>
          <w14:textFill>
            <w14:solidFill>
              <w14:schemeClr w14:val="tx1"/>
            </w14:solidFill>
          </w14:textFill>
        </w:rPr>
        <w:t>聚焦</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三保</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保障与风险防控双重点，全力维护财政经济平稳运行。我们将在区委坚强领导下，自觉接受区</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人大</w:t>
      </w:r>
      <w:r>
        <w:rPr>
          <w:rFonts w:hint="eastAsia" w:ascii="Times New Roman" w:hAnsi="Times New Roman" w:eastAsia="仿宋_GB2312" w:cs="Times New Roman"/>
          <w:color w:val="000000" w:themeColor="text1"/>
          <w:sz w:val="30"/>
          <w:szCs w:val="30"/>
          <w:lang w:val="en-US" w:eastAsia="zh-CN"/>
          <w14:textFill>
            <w14:solidFill>
              <w14:schemeClr w14:val="tx1"/>
            </w14:solidFill>
          </w14:textFill>
        </w:rPr>
        <w:t>及其常</w:t>
      </w:r>
      <w:r>
        <w:rPr>
          <w:rFonts w:hint="default" w:ascii="Times New Roman" w:hAnsi="Times New Roman" w:eastAsia="仿宋_GB2312" w:cs="Times New Roman"/>
          <w:color w:val="000000" w:themeColor="text1"/>
          <w:sz w:val="30"/>
          <w:szCs w:val="30"/>
          <w:lang w:eastAsia="zh-CN"/>
          <w14:textFill>
            <w14:solidFill>
              <w14:schemeClr w14:val="tx1"/>
            </w14:solidFill>
          </w14:textFill>
        </w:rPr>
        <w:t>委会</w:t>
      </w:r>
      <w:r>
        <w:rPr>
          <w:rFonts w:hint="default" w:ascii="Times New Roman" w:hAnsi="Times New Roman" w:eastAsia="仿宋_GB2312" w:cs="Times New Roman"/>
          <w:color w:val="000000" w:themeColor="text1"/>
          <w:sz w:val="30"/>
          <w:szCs w:val="30"/>
          <w14:textFill>
            <w14:solidFill>
              <w14:schemeClr w14:val="tx1"/>
            </w14:solidFill>
          </w14:textFill>
        </w:rPr>
        <w:t>监督，主动担当财政职能，锚定高质量发展目标，强化资金统筹</w:t>
      </w:r>
      <w:r>
        <w:rPr>
          <w:rFonts w:hint="eastAsia" w:ascii="Times New Roman" w:hAnsi="Times New Roman" w:eastAsia="仿宋_GB2312" w:cs="Times New Roman"/>
          <w:color w:val="000000" w:themeColor="text1"/>
          <w:sz w:val="30"/>
          <w:szCs w:val="30"/>
          <w:lang w:eastAsia="zh-CN"/>
          <w14:textFill>
            <w14:solidFill>
              <w14:schemeClr w14:val="tx1"/>
            </w14:solidFill>
          </w14:textFill>
        </w:rPr>
        <w:t>，</w:t>
      </w:r>
      <w:r>
        <w:rPr>
          <w:rFonts w:hint="default" w:ascii="Times New Roman" w:hAnsi="Times New Roman" w:eastAsia="仿宋_GB2312" w:cs="Times New Roman"/>
          <w:color w:val="000000" w:themeColor="text1"/>
          <w:sz w:val="30"/>
          <w:szCs w:val="30"/>
          <w14:textFill>
            <w14:solidFill>
              <w14:schemeClr w14:val="tx1"/>
            </w14:solidFill>
          </w14:textFill>
        </w:rPr>
        <w:t>提升配置效能，以更实举措落实各项决策部署，为区域经济社会持续健康发展作出新的贡献！</w:t>
      </w:r>
    </w:p>
    <w:p w14:paraId="37CC249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851646"/>
    <w:rsid w:val="5785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2026-01-16T07:07:00Z</dcterms:created>
  <dc:creator>不高兴</dc:creator>
  <cp:lastModifiedBy>不高兴</cp:lastModifiedBy>
  <dcterms:modified xsi:type="dcterms:W3CDTF">2026-01-16T07:08:31Z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7D18CB2F23F3436DB7A42D710D046256_11</vt:lpwstr>
  </property>
  <property fmtid="{D5CDD505-2E9C-101B-9397-08002B2CF9AE}" pid="4" name="KSOTemplateDocerSaveRecord">
    <vt:lpwstr>eyJoZGlkIjoiZTg5NjNjNTlmOWZjNjYzMGY1ZGQ1ODczNzNkODg5MTEiLCJ1c2VySWQiOiI2ODE0NDEwMjAifQ==</vt:lpwstr>
  </property>
</Properties>
</file>